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a-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A, ~180M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A: the launch plant with the whole chain, cutting and galvanics included, three presses, brought to ~180M THB (~177M) with six cost levers. A second version, Plan B (~225M THB), launches with five presses and takes none of the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(~225M THB)</w:t>
      </w:r>
      <w:r>
        <w:rPr/>
        <w:t xml:space="preserve">, five presses with everything in. </w:t>
      </w:r>
      <w:r>
        <w:rPr>
          <w:b/>
        </w:rPr>
        <w:t>This document is Plan A</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boiler modules (B-1, B-2, bought through the Chinese route) and two 250 kW chiller modules (CH-1, CH-2) installed at launch; further presses add modules, not rooms. The steam fuel (electric or biomass) is still open.</w:t>
      </w:r>
    </w:p>
    <w:p>
      <w:pPr>
        <w:pStyle w:val="ListBullet"/>
      </w:pPr>
      <w:r>
        <w:rPr>
          <w:b/>
        </w:rPr>
        <w:t>Cassette duplication and CD-R duplication as a growth step</w:t>
      </w:r>
      <w:r>
        <w:rPr/>
        <w:t xml:space="preserve"> after launch, not in the plan price; both fit inside the building programme.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rooftop solar through a solar power purchase agreement (PPA) and room for a second building.</w:t>
      </w:r>
    </w:p>
    <w:p>
      <w:pPr>
        <w:pStyle w:val="ListBullet"/>
      </w:pPr>
      <w:r>
        <w:rPr>
          <w:b/>
        </w:rPr>
        <w:t>Commissioned in sequence:</w:t>
      </w:r>
      <w:r>
        <w:rPr/>
        <w:t xml:space="preserve"> the cutting room and galvanics first (the presses need their stampers), then the Duplex system, then the Classic. That puts galvanics, the hardest skill to hire, on the path to the first paying release. Sibert, the stamper-prep supplier in the plan, advised after the Haarlem trade show to get presses, boilers, operators and feedback loops right first; the launch plant was decided anyway, and that advice is carried as a risk (sections 11.2 and 13).</w:t>
      </w:r>
    </w:p>
    <w:p>
      <w:pPr>
        <w:pStyle w:val="ListBullet"/>
      </w:pPr>
      <w:r>
        <w:rPr>
          <w:b/>
        </w:rPr>
        <w:t>Six cost levers bring the plant to ~180M THB</w:t>
      </w:r>
      <w:r>
        <w:rPr/>
        <w:t>, from ~194M to ~162M THB at the midpoint before the ramp-up reserve (estimates, section 8): rooftop solar and battery through a solar PPA (the installer owns and finances the array, the plant buys the power); metrology in two steps (XRF, inline vision and the audio station at launch, the laser confocal and the wide-area profiler bought from revenue); the visitor corridor built later, so no public tours at first; cassette and CD-R duplication later; a mobile crane rented for the installations, with frame, runway and machine door kept crane-ready; boilers and compressor through the Chinese route. Every press, the cutting room, the galvanics line and the stamper-prep line stay in.</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and logged per serial, which is ahead of current industry practice: XRF thickness from launch, the laser confocal and the wide-area profiler bought from revenue.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if the boiler is fired, as much condensate back to the feed tank as possible, then a heat pump that lifts the presses' ~60 °C cooling return into boiler feedwater. The main roof carries </w:t>
      </w:r>
      <w:r>
        <w:rPr>
          <w:b/>
        </w:rPr>
        <w:t>~247 kWp</w:t>
      </w:r>
      <w:r>
        <w:rPr/>
        <w:t xml:space="preserve"> of solar (about 335 to 360 MWh a year, a quarter to a third of mature two-shift use; a second building's roof would take the total to ~498 kWp), with a 271 kWh battery for ride-through, both through the solar PPA: the installer owns and finances them, the plant buys the power.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the fuel choice is open.</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(2 semi-automatic presses + 1 Classic, 2 shifts; the Duplex sets the pace; estimate; the press fleet calculator gives ~0.94M at our planning rates). Second Duplex as a growth step from revenue: ~1.0M to 1.5M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A</w:t>
            </w:r>
          </w:p>
        </w:tc>
        <w:tc>
          <w:tcPr>
            <w:tcW w:type="dxa" w:w="6520"/>
          </w:tcPr>
          <w:p>
            <w:pPr>
              <w:spacing w:after="20" w:before="20"/>
            </w:pPr>
            <w:r/>
            <w:r>
              <w:rPr>
                <w:b/>
                <w:sz w:val="19"/>
              </w:rPr>
              <w:t>~THB 177M (~USD 5.35M), rounded to ~180M THB</w:t>
            </w:r>
            <w:r>
              <w:rPr>
                <w:sz w:val="19"/>
              </w:rPr>
              <w:t>: the plan investment, ~THB 161.7M (~USD 4.90M) at the midpoint with the six levers taken, plus a ramp-up reserve of ~THB 10M to 20M (staff and overheads before volume covers them). From the low to the high end of every block: ~THB 127M to 226M.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24M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1.34M (~THB 44M); break-even on operating profit at ~0.2M records a year. </w:t>
            </w:r>
            <w:r>
              <w:rPr>
                <w:b/>
                <w:sz w:val="19"/>
              </w:rPr>
              <w:t>The adverse case loses money:</w:t>
            </w:r>
            <w:r>
              <w:rPr>
                <w:sz w:val="19"/>
              </w:rPr>
              <w:t xml:space="preserve"> EBITDA ~USD 0.23M, operating loss ~USD 0.39M (~THB 13M); it would need ~0.9M records a year to cover depreciation and the three presses make 0.58M at that rate. The solar PPA's power price (~USD 0.03M a year in the calculator) is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~3.1 years on the plan price in the central case (2.2 to 4.0 from the low to the high end of the price); ~1.0 year in the favourable case, ~30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177M (~USD 5.35M), the ~180M THB plan, released in tranches against milestones (section 8), starting with phase 0 (~THB 1.3M to 2.6M). BOI caps debt-to-equity at 3:1, so at least a quarter is equity: ~THB 44M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A</w:t>
      </w:r>
      <w:r>
        <w:rPr/>
        <w:t xml:space="preserve">. The other version, </w:t>
      </w:r>
      <w:r>
        <w:rPr>
          <w:b/>
        </w:rPr>
        <w:t>Plan B (~225M THB)</w:t>
      </w:r>
      <w:r>
        <w:rPr/>
        <w:t>, puts the second Duplex system in at launch, for five presses, and takes none of the six levers. Both carry the ramp-up reserve and neither carries a contingency. What decides between them is demand: Plan B's central case needs about 70 % more records sold than Plan A's (1.25 against 0.74 million a year), and the market validation gate (section 3.2) is the evidence for that.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177M (~USD 5.35M); ~127M to 226M from the low to the high end</w:t>
            </w:r>
          </w:p>
        </w:tc>
        <w:tc>
          <w:tcPr>
            <w:tcW w:type="dxa" w:w="3628"/>
          </w:tcPr>
          <w:p>
            <w:pPr>
              <w:spacing w:after="20" w:before="20"/>
            </w:pPr>
            <w:r/>
            <w:r>
              <w:rPr>
                <w:sz w:val="17"/>
              </w:rPr>
              <w:t>~THB 224M (~USD 6.79M); ~162M to 286M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5: two Duplex systems (4 semi-automatic) and one Classic</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~1.0M to 1.5M (central 1.25M)</w:t>
            </w:r>
          </w:p>
        </w:tc>
      </w:tr>
      <w:tr>
        <w:trPr>
          <w:cantSplit/>
        </w:trPr>
        <w:tc>
          <w:tcPr>
            <w:tcW w:type="dxa" w:w="2381"/>
            <w:shd w:val="clear" w:color="auto" w:fill="F2F5FA"/>
          </w:tcPr>
          <w:p>
            <w:pPr>
              <w:spacing w:after="20" w:before="20"/>
            </w:pPr>
            <w:r/>
            <w:r>
              <w:rPr>
                <w:sz w:val="17"/>
              </w:rPr>
              <w:t>EBITDA, central case</w:t>
            </w:r>
          </w:p>
        </w:tc>
        <w:tc>
          <w:tcPr>
            <w:tcW w:type="dxa" w:w="3628"/>
            <w:shd w:val="clear" w:color="auto" w:fill="F2F5FA"/>
          </w:tcPr>
          <w:p>
            <w:pPr>
              <w:spacing w:after="20" w:before="20"/>
            </w:pPr>
            <w:r/>
            <w:r>
              <w:rPr>
                <w:sz w:val="17"/>
              </w:rPr>
              <w:t>~USD 1.73M (~THB 57M)</w:t>
            </w:r>
          </w:p>
        </w:tc>
        <w:tc>
          <w:tcPr>
            <w:tcW w:type="dxa" w:w="3628"/>
            <w:shd w:val="clear" w:color="auto" w:fill="F2F5FA"/>
          </w:tcPr>
          <w:p>
            <w:pPr>
              <w:spacing w:after="20" w:before="20"/>
            </w:pPr>
            <w:r/>
            <w:r>
              <w:rPr>
                <w:sz w:val="17"/>
              </w:rPr>
              <w:t>~USD 3.14M (~THB 104M)</w:t>
            </w:r>
          </w:p>
        </w:tc>
      </w:tr>
      <w:tr>
        <w:trPr>
          <w:cantSplit/>
        </w:trPr>
        <w:tc>
          <w:tcPr>
            <w:tcW w:type="dxa" w:w="2381"/>
          </w:tcPr>
          <w:p>
            <w:pPr>
              <w:spacing w:after="20" w:before="20"/>
            </w:pPr>
            <w:r/>
            <w:r>
              <w:rPr>
                <w:sz w:val="17"/>
              </w:rPr>
              <w:t>Operating profit, central case</w:t>
            </w:r>
          </w:p>
        </w:tc>
        <w:tc>
          <w:tcPr>
            <w:tcW w:type="dxa" w:w="3628"/>
          </w:tcPr>
          <w:p>
            <w:pPr>
              <w:spacing w:after="20" w:before="20"/>
            </w:pPr>
            <w:r/>
            <w:r>
              <w:rPr>
                <w:sz w:val="17"/>
              </w:rPr>
              <w:t>~USD 1.34M (~THB 44M)</w:t>
            </w:r>
          </w:p>
        </w:tc>
        <w:tc>
          <w:tcPr>
            <w:tcW w:type="dxa" w:w="3628"/>
          </w:tcPr>
          <w:p>
            <w:pPr>
              <w:spacing w:after="20" w:before="20"/>
            </w:pPr>
            <w:r/>
            <w:r>
              <w:rPr>
                <w:sz w:val="17"/>
              </w:rPr>
              <w:t>~USD 2.63M (~THB 87M)</w:t>
            </w:r>
          </w:p>
        </w:tc>
      </w:tr>
      <w:tr>
        <w:trPr>
          <w:cantSplit/>
        </w:trPr>
        <w:tc>
          <w:tcPr>
            <w:tcW w:type="dxa" w:w="2381"/>
            <w:shd w:val="clear" w:color="auto" w:fill="F2F5FA"/>
          </w:tcPr>
          <w:p>
            <w:pPr>
              <w:spacing w:after="20" w:before="20"/>
            </w:pPr>
            <w:r/>
            <w:r>
              <w:rPr>
                <w:sz w:val="17"/>
              </w:rPr>
              <w:t>Payback on the plan price, central case</w:t>
            </w:r>
          </w:p>
        </w:tc>
        <w:tc>
          <w:tcPr>
            <w:tcW w:type="dxa" w:w="3628"/>
            <w:shd w:val="clear" w:color="auto" w:fill="F2F5FA"/>
          </w:tcPr>
          <w:p>
            <w:pPr>
              <w:spacing w:after="20" w:before="20"/>
            </w:pPr>
            <w:r/>
            <w:r>
              <w:rPr>
                <w:sz w:val="17"/>
              </w:rPr>
              <w:t>~3.1 years (2.2 to 4.0)</w:t>
            </w:r>
          </w:p>
        </w:tc>
        <w:tc>
          <w:tcPr>
            <w:tcW w:type="dxa" w:w="3628"/>
            <w:shd w:val="clear" w:color="auto" w:fill="F2F5FA"/>
          </w:tcPr>
          <w:p>
            <w:pPr>
              <w:spacing w:after="20" w:before="20"/>
            </w:pPr>
            <w:r/>
            <w:r>
              <w:rPr>
                <w:sz w:val="17"/>
              </w:rPr>
              <w:t>~2.2 years (1.6 to 2.8)</w:t>
            </w:r>
          </w:p>
        </w:tc>
      </w:tr>
      <w:tr>
        <w:trPr>
          <w:cantSplit/>
        </w:trPr>
        <w:tc>
          <w:tcPr>
            <w:tcW w:type="dxa" w:w="2381"/>
          </w:tcPr>
          <w:p>
            <w:pPr>
              <w:spacing w:after="20" w:before="20"/>
            </w:pPr>
            <w:r/>
            <w:r>
              <w:rPr>
                <w:sz w:val="17"/>
              </w:rPr>
              <w:t>Adverse case</w:t>
            </w:r>
          </w:p>
        </w:tc>
        <w:tc>
          <w:tcPr>
            <w:tcW w:type="dxa" w:w="3628"/>
          </w:tcPr>
          <w:p>
            <w:pPr>
              <w:spacing w:after="20" w:before="20"/>
            </w:pPr>
            <w:r/>
            <w:r>
              <w:rPr>
                <w:sz w:val="17"/>
              </w:rPr>
              <w:t>Loses money: EBITDA ~USD 0.23M, operating loss ~USD 0.39M</w:t>
            </w:r>
          </w:p>
        </w:tc>
        <w:tc>
          <w:tcPr>
            <w:tcW w:type="dxa" w:w="3628"/>
          </w:tcPr>
          <w:p>
            <w:pPr>
              <w:spacing w:after="20" w:before="20"/>
            </w:pPr>
            <w:r/>
            <w:r>
              <w:rPr>
                <w:sz w:val="17"/>
              </w:rPr>
              <w:t>Just covers depreciation: EBITDA ~USD 0.83M, operating profit ~USD 0.02M</w:t>
            </w:r>
          </w:p>
        </w:tc>
      </w:tr>
      <w:tr>
        <w:trPr>
          <w:cantSplit/>
        </w:trPr>
        <w:tc>
          <w:tcPr>
            <w:tcW w:type="dxa" w:w="2381"/>
            <w:shd w:val="clear" w:color="auto" w:fill="F2F5FA"/>
          </w:tcPr>
          <w:p>
            <w:pPr>
              <w:spacing w:after="20" w:before="20"/>
            </w:pPr>
            <w:r/>
            <w:r>
              <w:rPr>
                <w:sz w:val="17"/>
              </w:rPr>
              <w:t>What Plan A gives up, what Plan B needs</w:t>
            </w:r>
          </w:p>
        </w:tc>
        <w:tc>
          <w:tcPr>
            <w:tcW w:type="dxa" w:w="3628"/>
            <w:shd w:val="clear" w:color="auto" w:fill="F2F5FA"/>
          </w:tcPr>
          <w:p>
            <w:pPr>
              <w:spacing w:after="20" w:before="20"/>
            </w:pPr>
            <w:r/>
            <w:r>
              <w:rPr>
                <w:sz w:val="17"/>
              </w:rPr>
              <w:t>At launch: solar through a PPA (very likely without the BOI solar measure), no confocal or profiler, no visitor corridor or tours, no cassette or CD-R, a rented crane; Chinese-made boilers and compressor</w:t>
            </w:r>
          </w:p>
        </w:tc>
        <w:tc>
          <w:tcPr>
            <w:tcW w:type="dxa" w:w="3628"/>
            <w:shd w:val="clear" w:color="auto" w:fill="F2F5FA"/>
          </w:tcPr>
          <w:p>
            <w:pPr>
              <w:spacing w:after="20" w:before="20"/>
            </w:pPr>
            <w:r/>
            <w:r>
              <w:rPr>
                <w:sz w:val="17"/>
              </w:rPr>
              <w:t>~1.25M records sold a year, ~0.75M of them specials, against 0.74M for Plan A; no market evidence of that demand yet</w:t>
            </w:r>
          </w:p>
        </w:tc>
      </w:tr>
    </w:tbl>
    <w:p>
      <w:pPr>
        <w:spacing w:before="40" w:after="160"/>
      </w:pPr>
      <w:r>
        <w:rPr>
          <w:i/>
          <w:color w:val="595959"/>
          <w:sz w:val="17"/>
        </w:rPr>
        <w:t>Estimates: mature year at 60 % specials, from the revenue model; payback counted on the whole plan price including the reserve. Central EBITDA margins of ~47 % (A) and ~52 % (B) are far above the 15 to 25 % pressing plants earn; read the adverse case as the honest one.</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metrology distributor quotes and a solar PPA offer.</w:t>
            </w:r>
          </w:p>
          <w:p>
            <w:pPr>
              <w:spacing w:after="60"/>
              <w:ind w:left="227"/>
            </w:pPr>
            <w:r>
              <w:rPr>
                <w:sz w:val="20"/>
              </w:rPr>
              <w:t xml:space="preserve">•  </w:t>
            </w:r>
            <w:r>
              <w:rPr>
                <w:b/>
                <w:sz w:val="20"/>
              </w:rPr>
              <w:t>Then the Plan A round, ~THB 177M (~USD 5.35M), rounded to ~180M THB</w:t>
            </w:r>
            <w:r>
              <w:rPr>
                <w:sz w:val="20"/>
              </w:rPr>
              <w:t>, including the ramp-up reserve and without contingency,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127M to 226M;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(demand decides first, from market validation; then the Classic, Pheenix and EX 35 quotes, the solar PPA offer and the building quote); the equity/debt mix (BOI requires debt-to-equity of at most 3:1, so at least ~THB 44M of Plan A's ~177M is equity); CD replication, yes or no (it must be in the BOI application from the start); and the steam fuel, electric or biomass.</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(~225M THB)</w:t>
      </w:r>
      <w:r>
        <w:rPr/>
        <w:t xml:space="preserve">, five presses with everything in. Both plan prices include the ramp-up reserve and neither carries a contingency. This document is </w:t>
      </w:r>
      <w:r>
        <w:rPr>
          <w:b/>
        </w:rPr>
        <w:t>Plan A (~180M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the solar PPA power price;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Plan A adds cassette and CD-R duplication after launch, as a growth step outside its price.</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Launch plant,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Launch plant,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Launch plant,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Launch plant;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boilers (Chinese route) and 2 x 250 kW chillers; heat recovery designed in</w:t>
            </w:r>
          </w:p>
        </w:tc>
        <w:tc>
          <w:tcPr>
            <w:tcW w:type="dxa" w:w="1701"/>
          </w:tcPr>
          <w:p>
            <w:pPr>
              <w:spacing w:after="20" w:before="20"/>
            </w:pPr>
            <w:r/>
            <w:r>
              <w:rPr>
                <w:sz w:val="17"/>
              </w:rPr>
              <w:t>Launch plant;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XRF thickness and inline vision at launch; laser confocal and wide-area profiler from revenue</w:t>
            </w:r>
          </w:p>
        </w:tc>
        <w:tc>
          <w:tcPr>
            <w:tcW w:type="dxa" w:w="1701"/>
          </w:tcPr>
          <w:p>
            <w:pPr>
              <w:spacing w:after="20" w:before="20"/>
            </w:pPr>
            <w:r/>
            <w:r>
              <w:rPr>
                <w:sz w:val="17"/>
              </w:rPr>
              <w:t>Launch plant (confocal and profiler from revenue)</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Launch plant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Launch plant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Launch plant</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BOI tax value</w:t>
            </w:r>
          </w:p>
        </w:tc>
        <w:tc>
          <w:tcPr>
            <w:tcW w:type="dxa" w:w="3118"/>
          </w:tcPr>
          <w:p>
            <w:pPr>
              <w:spacing w:after="20" w:before="20"/>
            </w:pPr>
            <w:r/>
            <w:r>
              <w:rPr>
                <w:sz w:val="17"/>
              </w:rPr>
              <w:t>~247 kWp roof PV and 271 kWh battery through a solar PPA (installer-owned), closed cooling loop, zero process discharge</w:t>
            </w:r>
          </w:p>
        </w:tc>
        <w:tc>
          <w:tcPr>
            <w:tcW w:type="dxa" w:w="1701"/>
          </w:tcPr>
          <w:p>
            <w:pPr>
              <w:spacing w:after="20" w:before="20"/>
            </w:pPr>
            <w:r/>
            <w:r>
              <w:rPr>
                <w:sz w:val="17"/>
              </w:rPr>
              <w:t>Launch plant (PV and battery through a solar PPA)</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Launch plant;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Growth step after launch, not in the plan price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launch plant,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for the larger five-press fleet.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boiler modules (B-1, B-2) and two 250 kW chiller modules (CH-1, CH-2)</w:t>
      </w:r>
      <w:r>
        <w:rPr/>
        <w:t>, in a boiler hall and an open chiller compound built for four modules each; a second Duplex adds a third chiller module, and the fourth positions are reserve and growth. Plan A buys the two boiler modules through the Chinese route: ASME-stamped 1.25 MPa units from makers with Thai references, installed by a Thai contractor and verified under the Thai rules for imported boilers (section 5.4).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Plan A adds cassette and CD-R duplication after launch, as a growth step from revenue, starting at tier A or a small tier B. Together they are one estimated block of USD 55k to 190k (~THB 4.0M at the midpoint), not in Plan A's price: moving them later is one of its six cost levers. They fit inside the building programme, and the activity can still go into the BOI application from the start (to confirm with the BOI consultant).</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the CD route for this plant: it is cheap, schedule-neutral, and serves the plant's customers; Plan A adds it after launch together with the cassette line.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Plan A's price includes neither route; Route 1 is a growth step and Route 2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From revenue</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From revenue</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A: the launch tier</w:t>
            </w:r>
          </w:p>
          <w:p>
            <w:pPr>
              <w:spacing w:after="60"/>
              <w:ind w:left="227"/>
            </w:pPr>
            <w:r>
              <w:rPr>
                <w:sz w:val="20"/>
              </w:rPr>
              <w:t xml:space="preserve">•  </w:t>
            </w:r>
            <w:r>
              <w:rPr>
                <w:b/>
                <w:sz w:val="20"/>
              </w:rPr>
              <w:t>At launch: XRF, inline vision and the audio station</w:t>
            </w:r>
            <w:r>
              <w:rPr>
                <w:sz w:val="20"/>
              </w:rPr>
              <w:t>, USD 170k to 460k (5.6M to 15.2M THB, estimate, section 8). Every father, mother and stamper still gets its nickel thickness measured per serial by XRF and its surface screened by vision, and every record is still inspected optically on the three presses, logged per cycle and sampled by the audio station (section 5.3).</w:t>
            </w:r>
          </w:p>
          <w:p>
            <w:pPr>
              <w:spacing w:after="60"/>
              <w:ind w:left="227"/>
            </w:pPr>
            <w:r>
              <w:rPr>
                <w:sz w:val="20"/>
              </w:rPr>
              <w:t xml:space="preserve">•  </w:t>
            </w:r>
            <w:r>
              <w:rPr>
                <w:b/>
                <w:sz w:val="20"/>
              </w:rPr>
              <w:t>From revenue: the laser confocal and the wide-area profiler</w:t>
            </w:r>
            <w:r>
              <w:rPr>
                <w:sz w:val="20"/>
              </w:rPr>
              <w:t>, USD 180k to 350k (estimate). Buying them later takes ~8.8M THB out of the capital round at the midpoint, one of the six levers that bring the plan to ~180M THB. Until they arrive, groove geometry and form on the metal are judged indirectly, through the test pressing and the audio station, as most plants do today.</w:t>
            </w:r>
          </w:p>
          <w:p>
            <w:pPr>
              <w:spacing w:after="60"/>
              <w:ind w:left="227"/>
            </w:pPr>
            <w:r>
              <w:rPr>
                <w:sz w:val="20"/>
              </w:rPr>
              <w:t>•  The data path is the same from the first day, so the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in the launch tier</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the utility backbone is built for the five-press fleet (750 to 900 kg/h of steam, up to ~650 kW of cooling).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a fired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boilers (B-1, B-2) for the 450 to 540 kg/h peak and two 250 kW air-cooled chillers rated at 40 °C ambient (CH-1, CH-2) for ~391.5 kW, sequenced lead and lag by one controller. Either boiler alone carries 93 to 111% of the steam demand; one chiller out leaves ~64% of the cooling peak. The boiler bodies come through the Chinese route and the compressor from a Chinese brand's Thai office (below).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a biomass or LPG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without electric steam, that is roughly 4.5M to 6.8M THB a year before solar, 0.7M to 1.1M of it demand charge (estimates), on an 800 to 1,000 kVA connection. Three design consequences:</w:t>
      </w:r>
    </w:p>
    <w:p>
      <w:pPr>
        <w:pStyle w:val="ListBullet"/>
      </w:pPr>
      <w:r>
        <w:rPr>
          <w:b/>
        </w:rPr>
        <w:t>Biomass heat is far cheaper than electric steam</w:t>
      </w:r>
      <w:r>
        <w:rPr/>
        <w:t xml:space="preserve"> (below): the demand charge follows the boiler's full-power draw, and the peak window covers 13 of the 16 production hours.</w:t>
      </w:r>
    </w:p>
    <w:p>
      <w:pPr>
        <w:pStyle w:val="ListBullet"/>
      </w:pPr>
      <w:r>
        <w:rPr>
          <w:b/>
        </w:rPr>
        <w:t>The roof gets PV, not solar thermal.</w:t>
      </w:r>
      <w:r>
        <w:rPr/>
        <w:t xml:space="preserve"> Self-consumed PV is worth ~3.7 THB/kWh of grid power displaced, less the PPA price the plant pays for it (below); it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Rooftop PV</w:t>
            </w:r>
          </w:p>
        </w:tc>
        <w:tc>
          <w:tcPr>
            <w:tcW w:type="dxa" w:w="6520"/>
          </w:tcPr>
          <w:p>
            <w:pPr>
              <w:spacing w:after="20" w:before="20"/>
            </w:pPr>
            <w:r/>
            <w:r>
              <w:rPr>
                <w:sz w:val="19"/>
              </w:rPr>
              <w:t>~247 kWp on the 1,523 m² monopitch roof (425 modules of a generic 580 W placeholder; no module chosen yet), ~335 to 360 MWh a year, ~25 to 35% of mature two-shift use (1,000 to 1,500 MWh). Taken through a solar PPA (below): the plant pays the PPA price for this power instead of buying the array, so its saving is the gap between that price and the ~3.7 THB/kWh of grid power it displaces</w:t>
            </w:r>
          </w:p>
        </w:tc>
      </w:tr>
      <w:tr>
        <w:trPr>
          <w:cantSplit/>
        </w:trPr>
        <w:tc>
          <w:tcPr>
            <w:tcW w:type="dxa" w:w="2835"/>
            <w:shd w:val="clear" w:color="auto" w:fill="F2F5FA"/>
          </w:tcPr>
          <w:p>
            <w:pPr>
              <w:spacing w:after="20" w:before="20"/>
            </w:pPr>
            <w:r>
              <w:rPr>
                <w:b/>
              </w:rPr>
            </w:r>
            <w:r>
              <w:rPr>
                <w:b/>
                <w:sz w:val="19"/>
              </w:rPr>
              <w:t>Canopies and the second building</w:t>
            </w:r>
          </w:p>
        </w:tc>
        <w:tc>
          <w:tcPr>
            <w:tcW w:type="dxa" w:w="6520"/>
          </w:tcPr>
          <w:p>
            <w:pPr>
              <w:spacing w:after="20" w:before="20"/>
            </w:pPr>
            <w:r/>
            <w:r>
              <w:rPr>
                <w:sz w:val="19"/>
              </w:rPr>
              <w:t>~40 kWp on the parking canopies (construction RFQ; ~54 kWp if fully covered). A phase 2 building's roof adds ~251 kWp, ~498 kWp across both roofs</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 the PPA offer itself, price and terms</w:t>
            </w:r>
          </w:p>
        </w:tc>
      </w:tr>
      <w:tr>
        <w:trPr>
          <w:cantSplit/>
        </w:trPr>
        <w:tc>
          <w:tcPr>
            <w:tcW w:type="dxa" w:w="2835"/>
            <w:shd w:val="clear" w:color="auto" w:fill="F2F5FA"/>
          </w:tcPr>
          <w:p>
            <w:pPr>
              <w:spacing w:after="20" w:before="20"/>
            </w:pPr>
            <w:r>
              <w:rPr>
                <w:b/>
              </w:rPr>
            </w:r>
            <w:r>
              <w:rPr>
                <w:b/>
                <w:sz w:val="19"/>
              </w:rPr>
              <w:t>Solar PPA (this plan)</w:t>
            </w:r>
          </w:p>
        </w:tc>
        <w:tc>
          <w:tcPr>
            <w:tcW w:type="dxa" w:w="6520"/>
          </w:tcPr>
          <w:p>
            <w:pPr>
              <w:spacing w:after="20" w:before="20"/>
            </w:pPr>
            <w:r/>
            <w:r>
              <w:rPr>
                <w:sz w:val="19"/>
              </w:rPr>
              <w:t>An installer owns and finances the PV and the battery, and the plant buys the power at a price still to quote (the calculator carries 3.0 THB/kWh, an estimate, ~0.03M USD a year on the energy line). That keeps the PV EPC (USD 227k to 318k) and the battery (USD 42k to 62k) out of the capital round: ~10.7M THB less at the midpoint, one of the six levers in section 8. The BOI solar measure (section 7) rewards the plant's own solar investment, so its tax value very likely goes with the array (to confirm with the BOI consultant). The PPA offer is asked against the specification above</w:t>
            </w:r>
          </w:p>
        </w:tc>
      </w:tr>
    </w:tbl>
    <w:p>
      <w:pPr>
        <w:spacing w:after="40"/>
      </w:pPr>
    </w:p>
    <w:p>
      <w:pPr>
        <w:pStyle w:val="Heading3"/>
      </w:pPr>
      <w:r>
        <w:t>Steam: the open engineering choice</w:t>
      </w:r>
    </w:p>
    <w:p>
      <w:r>
        <w:rPr/>
        <w:t>The boilers' fuel is still open; the modular bank works with either. There is no natural gas pipeline in Northern Thailand, so gas means a bulk LPG tank on site with hazardous-storage separation and licensing, and diesel means a fuel tank with price exposure. The two routes without a fossil tank, compared for the same heat (~1,120 to 1,280 MWh a year at about 1.0 million records, the top of the plant's range; estimates):</w:t>
      </w:r>
    </w:p>
    <w:tbl>
      <w:tblPr>
        <w:tblStyle w:val="TableGrid"/>
        <w:tblW w:type="auto" w:w="0"/>
        <w:jc w:val="center"/>
        <w:tblLayout w:type="fixed"/>
        <w:tblLook w:firstColumn="1" w:firstRow="1" w:lastColumn="0" w:lastRow="0" w:noHBand="0" w:noVBand="1" w:val="04A0"/>
      </w:tblPr>
      <w:tblGrid>
        <w:gridCol w:w="2041"/>
        <w:gridCol w:w="3628"/>
        <w:gridCol w:w="3969"/>
      </w:tblGrid>
      <w:tr>
        <w:trPr>
          <w:tblHeader w:val="true"/>
          <w:cantSplit/>
        </w:trPr>
        <w:tc>
          <w:tcPr>
            <w:tcW w:type="dxa" w:w="204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Electric boiler bank (~98%)</w:t>
            </w:r>
          </w:p>
        </w:tc>
        <w:tc>
          <w:tcPr>
            <w:tcW w:type="dxa" w:w="3969"/>
            <w:shd w:val="clear" w:color="auto" w:fill="1F3864"/>
          </w:tcPr>
          <w:p>
            <w:pPr>
              <w:spacing w:after="20" w:before="20"/>
            </w:pPr>
            <w:r>
              <w:rPr>
                <w:b/>
              </w:rPr>
            </w:r>
            <w:r>
              <w:rPr>
                <w:b/>
                <w:color w:val="FFFFFF"/>
                <w:sz w:val="17"/>
              </w:rPr>
              <w:t>Biomass boiler bank (~80%)</w:t>
            </w:r>
          </w:p>
        </w:tc>
      </w:tr>
      <w:tr>
        <w:trPr>
          <w:cantSplit/>
        </w:trPr>
        <w:tc>
          <w:tcPr>
            <w:tcW w:type="dxa" w:w="2041"/>
          </w:tcPr>
          <w:p>
            <w:pPr>
              <w:spacing w:after="20" w:before="20"/>
            </w:pPr>
            <w:r/>
            <w:r>
              <w:rPr>
                <w:sz w:val="17"/>
              </w:rPr>
              <w:t>Price of heat</w:t>
            </w:r>
          </w:p>
        </w:tc>
        <w:tc>
          <w:tcPr>
            <w:tcW w:type="dxa" w:w="3628"/>
          </w:tcPr>
          <w:p>
            <w:pPr>
              <w:spacing w:after="20" w:before="20"/>
            </w:pPr>
            <w:r/>
            <w:r>
              <w:rPr>
                <w:sz w:val="17"/>
              </w:rPr>
              <w:t>~3.9 THB/kWh, plus the demand charge</w:t>
            </w:r>
          </w:p>
        </w:tc>
        <w:tc>
          <w:tcPr>
            <w:tcW w:type="dxa" w:w="3969"/>
          </w:tcPr>
          <w:p>
            <w:pPr>
              <w:spacing w:after="20" w:before="20"/>
            </w:pPr>
            <w:r/>
            <w:r>
              <w:rPr>
                <w:sz w:val="17"/>
              </w:rPr>
              <w:t>~0.5 to 0.9 THB/kWh at 1.35 to 2 THB/kg delivered (reported market prices, October 2026; no supplier quote yet)</w:t>
            </w:r>
          </w:p>
        </w:tc>
      </w:tr>
      <w:tr>
        <w:trPr>
          <w:cantSplit/>
        </w:trPr>
        <w:tc>
          <w:tcPr>
            <w:tcW w:type="dxa" w:w="2041"/>
            <w:shd w:val="clear" w:color="auto" w:fill="F2F5FA"/>
          </w:tcPr>
          <w:p>
            <w:pPr>
              <w:spacing w:after="20" w:before="20"/>
            </w:pPr>
            <w:r/>
            <w:r>
              <w:rPr>
                <w:sz w:val="17"/>
              </w:rPr>
              <w:t>Running cost, mature two shifts</w:t>
            </w:r>
          </w:p>
        </w:tc>
        <w:tc>
          <w:tcPr>
            <w:tcW w:type="dxa" w:w="3628"/>
            <w:shd w:val="clear" w:color="auto" w:fill="F2F5FA"/>
          </w:tcPr>
          <w:p>
            <w:pPr>
              <w:spacing w:after="20" w:before="20"/>
            </w:pPr>
            <w:r/>
            <w:r>
              <w:rPr>
                <w:sz w:val="17"/>
              </w:rPr>
              <w:t>~5.2M to 6.0M THB a year, including 0.8M to 1.0M of extra demand charge for the five-press bank</w:t>
            </w:r>
          </w:p>
        </w:tc>
        <w:tc>
          <w:tcPr>
            <w:tcW w:type="dxa" w:w="3969"/>
            <w:shd w:val="clear" w:color="auto" w:fill="F2F5FA"/>
          </w:tcPr>
          <w:p>
            <w:pPr>
              <w:spacing w:after="20" w:before="20"/>
            </w:pPr>
            <w:r/>
            <w:r>
              <w:rPr>
                <w:sz w:val="17"/>
              </w:rPr>
              <w:t>~0.6M to 1.2M THB a year of fuel, plus handling and ash</w:t>
            </w:r>
          </w:p>
        </w:tc>
      </w:tr>
      <w:tr>
        <w:trPr>
          <w:cantSplit/>
        </w:trPr>
        <w:tc>
          <w:tcPr>
            <w:tcW w:type="dxa" w:w="2041"/>
          </w:tcPr>
          <w:p>
            <w:pPr>
              <w:spacing w:after="20" w:before="20"/>
            </w:pPr>
            <w:r/>
            <w:r>
              <w:rPr>
                <w:sz w:val="17"/>
              </w:rPr>
              <w:t>Boiler package, 2 × 500 kg/h</w:t>
            </w:r>
          </w:p>
        </w:tc>
        <w:tc>
          <w:tcPr>
            <w:tcW w:type="dxa" w:w="3628"/>
          </w:tcPr>
          <w:p>
            <w:pPr>
              <w:spacing w:after="20" w:before="20"/>
            </w:pPr>
            <w:r/>
            <w:r>
              <w:rPr>
                <w:sz w:val="17"/>
              </w:rPr>
              <w:t>~2.8M to 5.5M THB through the Chinese route, the plan's price (4.5M to 7M from Thai suppliers)</w:t>
            </w:r>
          </w:p>
        </w:tc>
        <w:tc>
          <w:tcPr>
            <w:tcW w:type="dxa" w:w="3969"/>
          </w:tcPr>
          <w:p>
            <w:pPr>
              <w:spacing w:after="20" w:before="20"/>
            </w:pPr>
            <w:r/>
            <w:r>
              <w:rPr>
                <w:sz w:val="17"/>
              </w:rPr>
              <w:t>~6M to 10M THB, plus the fuel store</w:t>
            </w:r>
          </w:p>
        </w:tc>
      </w:tr>
      <w:tr>
        <w:trPr>
          <w:cantSplit/>
        </w:trPr>
        <w:tc>
          <w:tcPr>
            <w:tcW w:type="dxa" w:w="2041"/>
            <w:shd w:val="clear" w:color="auto" w:fill="F2F5FA"/>
          </w:tcPr>
          <w:p>
            <w:pPr>
              <w:spacing w:after="20" w:before="20"/>
            </w:pPr>
            <w:r/>
            <w:r>
              <w:rPr>
                <w:sz w:val="17"/>
              </w:rPr>
              <w:t>Grid</w:t>
            </w:r>
          </w:p>
        </w:tc>
        <w:tc>
          <w:tcPr>
            <w:tcW w:type="dxa" w:w="3628"/>
            <w:shd w:val="clear" w:color="auto" w:fill="F2F5FA"/>
          </w:tcPr>
          <w:p>
            <w:pPr>
              <w:spacing w:after="20" w:before="20"/>
            </w:pPr>
            <w:r/>
            <w:r>
              <w:rPr>
                <w:sz w:val="17"/>
              </w:rPr>
              <w:t>Peak ~950 to 1,330 kW: PEA Schedule 4, 1,250 to 1,600 kVA</w:t>
            </w:r>
          </w:p>
        </w:tc>
        <w:tc>
          <w:tcPr>
            <w:tcW w:type="dxa" w:w="3969"/>
            <w:shd w:val="clear" w:color="auto" w:fill="F2F5FA"/>
          </w:tcPr>
          <w:p>
            <w:pPr>
              <w:spacing w:after="20" w:before="20"/>
            </w:pPr>
            <w:r/>
            <w:r>
              <w:rPr>
                <w:sz w:val="17"/>
              </w:rPr>
              <w:t>Unchanged, ~800 to 1,000 kVA</w:t>
            </w:r>
          </w:p>
        </w:tc>
      </w:tr>
      <w:tr>
        <w:trPr>
          <w:cantSplit/>
        </w:trPr>
        <w:tc>
          <w:tcPr>
            <w:tcW w:type="dxa" w:w="2041"/>
          </w:tcPr>
          <w:p>
            <w:pPr>
              <w:spacing w:after="20" w:before="20"/>
            </w:pPr>
            <w:r/>
            <w:r>
              <w:rPr>
                <w:sz w:val="17"/>
              </w:rPr>
              <w:t>Also</w:t>
            </w:r>
          </w:p>
        </w:tc>
        <w:tc>
          <w:tcPr>
            <w:tcW w:type="dxa" w:w="3628"/>
          </w:tcPr>
          <w:p>
            <w:pPr>
              <w:spacing w:after="20" w:before="20"/>
            </w:pPr>
            <w:r/>
            <w:r>
              <w:rPr>
                <w:sz w:val="17"/>
              </w:rPr>
              <w:t>Cleanest permitting, no fuel logistics, no stack</w:t>
            </w:r>
          </w:p>
        </w:tc>
        <w:tc>
          <w:tcPr>
            <w:tcW w:type="dxa" w:w="3969"/>
          </w:tcPr>
          <w:p>
            <w:pPr>
              <w:spacing w:after="20" w:before="20"/>
            </w:pPr>
            <w:r/>
            <w:r>
              <w:rPr>
                <w:sz w:val="17"/>
              </w:rPr>
              <w:t>Fuel contracts, a dry store sized for the monsoon, ash handling, a 14 m stack and its emissions</w:t>
            </w:r>
          </w:p>
        </w:tc>
      </w:tr>
    </w:tbl>
    <w:p>
      <w:pPr>
        <w:spacing w:after="40"/>
      </w:pPr>
    </w:p>
    <w:p>
      <w:r>
        <w:rPr>
          <w:b/>
        </w:rPr>
        <w:t>Reading it.</w:t>
      </w:r>
      <w:r>
        <w:rPr/>
        <w:t xml:space="preserve"> The electric boiler is the more efficient machine; biomass is by far the cheaper heat. At maturity the fuel saving of ~4.0M to 5.4M THB a year repays the biomass premium in under a year (estimate), so the earlier staged path (start electric, add biomass later) is a permitting and fuel-logistics choice, not a cost one: every year on electric steam costs roughly 1.4M to 5.4M THB more. The site can decide it too: next to the pharmaceutical facility on Payap land a biomass stack would be a hard sell, which favours electric or LPG there (section 6.1).</w:t>
      </w:r>
    </w:p>
    <w:p>
      <w:r>
        <w:rPr>
          <w:b/>
        </w:rPr>
        <w:t>Fuel.</w:t>
      </w:r>
      <w:r>
        <w:rPr/>
        <w:t xml:space="preserve"> A biomass bank burns roughly 350 to 400 tonnes of air-dry wood a year at about 1.0 million records (~540 to 620 t as fresh chips, which is what the store and the monsoon stock are sized for).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decision.</w:t>
      </w:r>
    </w:p>
    <w:p>
      <w:r>
        <w:rPr>
          <w:b/>
        </w:rPr>
        <w:t>Where the boilers come from.</w:t>
      </w:r>
      <w:r>
        <w:rPr/>
        <w:t xml:space="preserve"> The plan buys the two modules through the Chinese route: boiler bodies from a Chinese maker with Thai references (ZOZEN, Sitong, Fangkuai, Taiguo), installed with the feed tank, pumps, header, controls and piping by a Thai boiler contractor, for roughly 2.8M to 5.5M THB installed against 4.5M to 7M from Thai suppliers, about 1.6M THB less at the midpoint. The compressor is a Chinese brand bought through its Thai office (Kaishan and Denair have one), so service stays local; with it the route saves ~1.9M THB at the midpoint (estimates from listings, not quotes). The specification is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a Thai boiler contractor and the certification body are the service layer either way.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the roof carries PV worth a quarter to a third of mature electricity use (through a solar PPA), with a battery for ride-through; no process water is discharged; a fifth of the plastic is reclaimed; and biomass steam, if chosen, costs a quarter to a tenth of electric steam. The same choices push the energy line toward its low end, hedge Thai tariff rises, and convert into BOI tax value through the Smart and Sustainable Industry measure (section 7).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boiler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a separated battery enclosure, and a medium-voltage connection from PEA (800 to 1,000 kVA for the five-press backbone without electric steam, 1,250 to 1,600 kVA with it).</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(crane-ready)</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 built later, its strip kept free)</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 later step in this plan) are not in the table yet. At the lower half of the table everything fits in 1,500 m²; at the upper half, finished goods move to a second building.</w:t>
      </w:r>
    </w:p>
    <w:p>
      <w:r>
        <w:rPr/>
        <w:t>Figures 8 to 10 show the plant as the plant and business plan calculator draws it for Plan A (~180M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a-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A (~180M THB) preset of the plant and business plan calculator: the factory with roof PV supplied through the solar PPA (the battery is drawn too; whether a PPA offer includes it is open), the office, the utility yard (boiler hall and chiller compound built for four modules each, pump and heat-exchanger room, transformer, water treatment, PVC silos), parking with PV canopies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a-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A (~180M THB) preset: from the west end the staff entry, workshop, galvanics (PASU, PPPU, PDPU, PMPB), Sibert stamper prep, metrology (launch tier), PVC lab and colour store, then the press hall, optical inspection, finishing and packaging, the warehouse and dispatch; the office with reception, lathe and cutting room, listening room and archive. The frame is crane-ready with the crane rented; the visitor corridor, cassette and CD-R come later.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a-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A (~180M THB) preset: Duplex system 1 (two HRP 12 presses with their extruders) and the Classic; the dashed outlines are the free Duplex bays and Classic positions for growth. In the yard, boiler modules B-1 and B-2 and chillers CH-1 and CH-2, with B-3, B-4, CH-3 and CH-4 free. Schematic, estimates.</w:t>
      </w:r>
    </w:p>
    <w:p>
      <w:pPr>
        <w:pStyle w:val="Heading3"/>
      </w:pPr>
      <w:r>
        <w:t>Crane, workshop and visitor corridor</w:t>
      </w:r>
    </w:p>
    <w:p>
      <w:pPr>
        <w:pStyle w:val="ListBullet"/>
      </w:pPr>
      <w:r>
        <w:rPr>
          <w:b/>
        </w:rPr>
        <w:t>A crane-ready frame, with the crane rented at first.</w:t>
      </w:r>
      <w:r>
        <w:rPr/>
        <w:t xml:space="preserve"> The frame, the runway and the machine door are built for a 5 t overhead crane (single-girder, ~24 m span, inverter drives, radio remote) over the whole production compartment, roughly 40 to 48 m of the 60 m, stopping at the fire wall to the finished-goods warehouse. For the installations a mobile crane is hired, and the crane itself is bought later if machine moves and maintenance lifts make it worth it. The building is shaped for it from the start: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Until a crane is bought, the hired crane sets each machine on skates at the door threshold; with the crane, a truck reverses up the ramp into the machine bay and the crane lifts the machine off the bed inside.</w:t>
      </w:r>
    </w:p>
    <w:p>
      <w:pPr>
        <w:pStyle w:val="ListBullet"/>
      </w:pPr>
      <w:r>
        <w:rPr>
          <w:b/>
        </w:rPr>
        <w:t>A maintenance workshop</w:t>
      </w:r>
      <w:r>
        <w:rPr/>
        <w:t xml:space="preserve"> of ~100 to 150 m² beside it, where a bought crane would park: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 built later.</w:t>
      </w:r>
      <w:r>
        <w:rPr/>
        <w:t xml:space="preserve"> The plan runs without public tours at first, but the route is designed in: the strip along the car-park wall stays free and the stations follow the process order, from the cutting-room window to packaging. Built, it is ~45 to 55 m long and ~2.4 m clear, with its own filtered air at slight positive pressure and acoustic glazing that brings the 80 to 90 dB(A) near the presses down to roughly 40 to 50 dB(A) (estimates), so a guide talks without a headset and visitors need no PPE; a 1:12 accessible ramp serves the entrance. Until it is built there are no public tours, and the tour route and the Payap programmes start later.</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w:t>
            </w:r>
          </w:p>
        </w:tc>
        <w:tc>
          <w:tcPr>
            <w:tcW w:type="dxa" w:w="3402"/>
            <w:shd w:val="clear" w:color="auto" w:fill="F2F5FA"/>
          </w:tcPr>
          <w:p>
            <w:pPr>
              <w:spacing w:after="20" w:before="20"/>
            </w:pPr>
            <w:r/>
            <w:r>
              <w:rPr>
                <w:sz w:val="18"/>
              </w:rPr>
              <w:t>42 m²</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fired case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carrying ~40 kWp of PV,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Crane-ready frame, runway and machine door; mobile crane rented for the installations</w:t>
            </w:r>
          </w:p>
        </w:tc>
        <w:tc>
          <w:tcPr>
            <w:tcW w:type="dxa" w:w="1474"/>
            <w:shd w:val="clear" w:color="auto" w:fill="F2F5FA"/>
          </w:tcPr>
          <w:p>
            <w:pPr>
              <w:spacing w:after="20" w:before="20"/>
            </w:pPr>
            <w:r/>
            <w:r>
              <w:rPr>
                <w:sz w:val="17"/>
              </w:rPr>
              <w:t>39k to 91k</w:t>
            </w:r>
          </w:p>
        </w:tc>
        <w:tc>
          <w:tcPr>
            <w:tcW w:type="dxa" w:w="1474"/>
            <w:shd w:val="clear" w:color="auto" w:fill="F2F5FA"/>
          </w:tcPr>
          <w:p>
            <w:pPr>
              <w:spacing w:after="20" w:before="20"/>
            </w:pPr>
            <w:r/>
            <w:r>
              <w:rPr>
                <w:sz w:val="17"/>
              </w:rPr>
              <w:t>1.3M to 3.0M</w:t>
            </w:r>
          </w:p>
        </w:tc>
        <w:tc>
          <w:tcPr>
            <w:tcW w:type="dxa" w:w="3855"/>
            <w:shd w:val="clear" w:color="auto" w:fill="F2F5FA"/>
          </w:tcPr>
          <w:p>
            <w:pPr>
              <w:spacing w:after="20" w:before="20"/>
            </w:pPr>
            <w:r/>
            <w:r>
              <w:rPr>
                <w:sz w:val="17"/>
              </w:rPr>
              <w:t>estimate: 40% of the crane block (USD 97k to 227k); the crane is bought later if needed</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built later</w:t>
            </w:r>
          </w:p>
        </w:tc>
        <w:tc>
          <w:tcPr>
            <w:tcW w:type="dxa" w:w="1474"/>
            <w:shd w:val="clear" w:color="auto" w:fill="F2F5FA"/>
          </w:tcPr>
          <w:p>
            <w:pPr>
              <w:spacing w:after="20" w:before="20"/>
            </w:pPr>
            <w:r/>
            <w:r>
              <w:rPr>
                <w:sz w:val="17"/>
              </w:rPr>
              <w:t>built later</w:t>
            </w:r>
          </w:p>
        </w:tc>
        <w:tc>
          <w:tcPr>
            <w:tcW w:type="dxa" w:w="3855"/>
            <w:shd w:val="clear" w:color="auto" w:fill="F2F5FA"/>
          </w:tcPr>
          <w:p>
            <w:pPr>
              <w:spacing w:after="20" w:before="20"/>
            </w:pPr>
            <w:r/>
            <w:r>
              <w:rPr>
                <w:sz w:val="17"/>
              </w:rPr>
              <w:t>USD 67k to 148k (2.2M to 4.9M THB) when built, estimate; not in the plan price</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~0.84M to 1.48M</w:t>
            </w:r>
          </w:p>
        </w:tc>
        <w:tc>
          <w:tcPr>
            <w:tcW w:type="dxa" w:w="1474"/>
          </w:tcPr>
          <w:p>
            <w:pPr>
              <w:spacing w:after="20" w:before="20"/>
            </w:pPr>
            <w:r/>
            <w:r>
              <w:rPr>
                <w:b/>
                <w:sz w:val="17"/>
              </w:rPr>
              <w:t>~28M to 49M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crane for the installations while the frame, runway and machine door stay crane-ready takes ~3.2M THB out at the midpoint, one of the six levers; the 5 t crane itself is USD 30k to 76k supplied and installed (estimate) when it is bought.</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boilers run under a licensed boiler controller (section 7).</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(once built)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automation, technology content and energy efficiency, not on pressing plastic discs. The research behind this dates from July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 this plan imports less at first).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Solar and battery measure (Announcement 2/2568, April 2025)</w:t>
            </w:r>
          </w:p>
        </w:tc>
        <w:tc>
          <w:tcPr>
            <w:tcW w:type="dxa" w:w="6350"/>
          </w:tcPr>
          <w:p>
            <w:pPr>
              <w:spacing w:after="20" w:before="20"/>
            </w:pPr>
            <w:r/>
            <w:r>
              <w:rPr>
                <w:sz w:val="18"/>
              </w:rPr>
              <w:t>CIT exemption based on the solar investment; PV modules, inverters, battery and battery inverters, and mounting are eligible, capped at THB 12M, 30M or 40M of investment per MW depending on investment type. It rewards a plant-owned array. This plan takes the PV and the battery through a solar PPA, so the installer owns them and the plant very likely gives up this measure (to confirm with the BOI consultant;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~127M to 226M THB with the ramp-up reserve (~177M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or the boiler rules.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xml:space="preserve">. The relief for small once-through units does not apply at ~10.5 bar (our reading), and the labour-side regulation of 2021 adds licensed-engineer installation and testing and a feedwater standard. </w:t>
      </w:r>
      <w:r>
        <w:rPr>
          <w:b/>
        </w:rPr>
        <w:t>This plan's two boiler bodies come from a Chinese maker, so they take the imported-boiler route of the notification:</w:t>
      </w:r>
      <w:r>
        <w:rPr/>
        <w:t xml:space="preserve"> verification by a registered certification body with the full dossier, and an ASME Section I design at 1.25 MPa with the S stamp, because a boiler built to the Chinese GB code would rest on 'or equivalent' with no precedent found.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once one is bought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come later in this plan; whether they still go into the first application (their machines then due inside its import window) or into a later amendment is a question for the consultant.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A (~180M THB)</w:t>
      </w:r>
      <w:r>
        <w:rPr/>
        <w:t xml:space="preserve">: the launch plant decided in October 2026, one Newbilt Duplex system and one Classic with the whole chain from the cutting room to the shrink wrapper, in one capital round and commissioned in sequence, brought down with six cost levers that keep every machine.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A,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launch tier: XRF, inline vision on the presses, audio station</w:t>
            </w:r>
          </w:p>
        </w:tc>
        <w:tc>
          <w:tcPr>
            <w:tcW w:type="dxa" w:w="1701"/>
          </w:tcPr>
          <w:p>
            <w:pPr>
              <w:spacing w:after="20" w:before="20"/>
            </w:pPr>
            <w:r/>
            <w:r>
              <w:rPr>
                <w:sz w:val="17"/>
              </w:rPr>
              <w:t>170k to 460k</w:t>
            </w:r>
          </w:p>
        </w:tc>
        <w:tc>
          <w:tcPr>
            <w:tcW w:type="dxa" w:w="1701"/>
          </w:tcPr>
          <w:p>
            <w:pPr>
              <w:spacing w:after="20" w:before="20"/>
            </w:pPr>
            <w:r/>
            <w:r>
              <w:rPr>
                <w:sz w:val="17"/>
              </w:rPr>
              <w:t>5.6M to 15.2M</w:t>
            </w:r>
          </w:p>
        </w:tc>
        <w:tc>
          <w:tcPr>
            <w:tcW w:type="dxa" w:w="3288"/>
          </w:tcPr>
          <w:p>
            <w:pPr>
              <w:spacing w:after="20" w:before="20"/>
            </w:pPr>
            <w:r/>
            <w:r>
              <w:rPr>
                <w:sz w:val="17"/>
              </w:rPr>
              <w:t>Estimate; the laser confocal and the wide-area profiler (USD 180k to 350k) are bought from revenue (lever 2, section 8.2)</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cooling and compressed air: two 500 kg/h boiler modules (priced electric), cooling backbone for four modules (plate heat exchanger, tanks, pumps, mains), two 250 kW chiller modules (CH-1, CH-2), screw compressor, dryer and receiver</w:t>
            </w:r>
          </w:p>
        </w:tc>
        <w:tc>
          <w:tcPr>
            <w:tcW w:type="dxa" w:w="1701"/>
          </w:tcPr>
          <w:p>
            <w:pPr>
              <w:spacing w:after="20" w:before="20"/>
            </w:pPr>
            <w:r/>
            <w:r>
              <w:rPr>
                <w:sz w:val="17"/>
              </w:rPr>
              <w:t>239k to 416k</w:t>
            </w:r>
          </w:p>
        </w:tc>
        <w:tc>
          <w:tcPr>
            <w:tcW w:type="dxa" w:w="1701"/>
          </w:tcPr>
          <w:p>
            <w:pPr>
              <w:spacing w:after="20" w:before="20"/>
            </w:pPr>
            <w:r/>
            <w:r>
              <w:rPr>
                <w:sz w:val="17"/>
              </w:rPr>
              <w:t>7.9M to 13.7M</w:t>
            </w:r>
          </w:p>
        </w:tc>
        <w:tc>
          <w:tcPr>
            <w:tcW w:type="dxa" w:w="3288"/>
          </w:tcPr>
          <w:p>
            <w:pPr>
              <w:spacing w:after="20" w:before="20"/>
            </w:pPr>
            <w:r/>
            <w:r>
              <w:rPr>
                <w:sz w:val="17"/>
              </w:rPr>
              <w:t>Researched: utilities rows; boilers and compressor through the Chinese route (lever 6): ASME-stamped 1.25 MPa boiler bodies installed by a Thai contractor, the compressor from a Chinese brand's Thai office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Building ~1,500 m² plus civil and site works</w:t>
            </w:r>
          </w:p>
        </w:tc>
        <w:tc>
          <w:tcPr>
            <w:tcW w:type="dxa" w:w="1701"/>
          </w:tcPr>
          <w:p>
            <w:pPr>
              <w:spacing w:after="20" w:before="20"/>
            </w:pPr>
            <w:r/>
            <w:r>
              <w:rPr>
                <w:sz w:val="17"/>
              </w:rPr>
              <w:t>650k to 1,100k</w:t>
            </w:r>
          </w:p>
        </w:tc>
        <w:tc>
          <w:tcPr>
            <w:tcW w:type="dxa" w:w="1701"/>
          </w:tcPr>
          <w:p>
            <w:pPr>
              <w:spacing w:after="20" w:before="20"/>
            </w:pPr>
            <w:r/>
            <w:r>
              <w:rPr>
                <w:sz w:val="17"/>
              </w:rPr>
              <w:t>21.4M to 36.3M</w:t>
            </w:r>
          </w:p>
        </w:tc>
        <w:tc>
          <w:tcPr>
            <w:tcW w:type="dxa" w:w="3288"/>
          </w:tcPr>
          <w:p>
            <w:pPr>
              <w:spacing w:after="20" w:before="20"/>
            </w:pPr>
            <w:r/>
            <w:r>
              <w:rPr>
                <w:sz w:val="17"/>
              </w:rPr>
              <w:t>Estimate at 12,000 to 20,000 THB/m² plus ~20 % site works; soil is the main variable</w:t>
            </w:r>
          </w:p>
        </w:tc>
      </w:tr>
      <w:tr>
        <w:trPr>
          <w:cantSplit/>
        </w:trPr>
        <w:tc>
          <w:tcPr>
            <w:tcW w:type="dxa" w:w="2948"/>
            <w:shd w:val="clear" w:color="auto" w:fill="F2F5FA"/>
          </w:tcPr>
          <w:p>
            <w:pPr>
              <w:spacing w:after="20" w:before="20"/>
            </w:pPr>
            <w:r/>
            <w:r>
              <w:rPr>
                <w:sz w:val="17"/>
              </w:rPr>
              <w:t>Crane rented for the installations (mobile crane); frame, runway and machine door stay crane-ready</w:t>
            </w:r>
          </w:p>
        </w:tc>
        <w:tc>
          <w:tcPr>
            <w:tcW w:type="dxa" w:w="1701"/>
            <w:shd w:val="clear" w:color="auto" w:fill="F2F5FA"/>
          </w:tcPr>
          <w:p>
            <w:pPr>
              <w:spacing w:after="20" w:before="20"/>
            </w:pPr>
            <w:r/>
            <w:r>
              <w:rPr>
                <w:sz w:val="17"/>
              </w:rPr>
              <w:t>39k to 91k</w:t>
            </w:r>
          </w:p>
        </w:tc>
        <w:tc>
          <w:tcPr>
            <w:tcW w:type="dxa" w:w="1701"/>
            <w:shd w:val="clear" w:color="auto" w:fill="F2F5FA"/>
          </w:tcPr>
          <w:p>
            <w:pPr>
              <w:spacing w:after="20" w:before="20"/>
            </w:pPr>
            <w:r/>
            <w:r>
              <w:rPr>
                <w:sz w:val="17"/>
              </w:rPr>
              <w:t>1.3M to 3.0M</w:t>
            </w:r>
          </w:p>
        </w:tc>
        <w:tc>
          <w:tcPr>
            <w:tcW w:type="dxa" w:w="3288"/>
            <w:shd w:val="clear" w:color="auto" w:fill="F2F5FA"/>
          </w:tcPr>
          <w:p>
            <w:pPr>
              <w:spacing w:after="20" w:before="20"/>
            </w:pPr>
            <w:r/>
            <w:r>
              <w:rPr>
                <w:sz w:val="17"/>
              </w:rPr>
              <w:t>Estimate: 40 % of the crane block (lever 5)</w:t>
            </w:r>
          </w:p>
        </w:tc>
      </w:tr>
      <w:tr>
        <w:trPr>
          <w:cantSplit/>
        </w:trPr>
        <w:tc>
          <w:tcPr>
            <w:tcW w:type="dxa" w:w="2948"/>
          </w:tcPr>
          <w:p>
            <w:pPr>
              <w:spacing w:after="20" w:before="20"/>
            </w:pPr>
            <w:r/>
            <w:r>
              <w:rPr>
                <w:sz w:val="17"/>
              </w:rPr>
              <w:t>Maintenance workshop and machine bay fit-out</w:t>
            </w:r>
          </w:p>
        </w:tc>
        <w:tc>
          <w:tcPr>
            <w:tcW w:type="dxa" w:w="1701"/>
          </w:tcPr>
          <w:p>
            <w:pPr>
              <w:spacing w:after="20" w:before="20"/>
            </w:pPr>
            <w:r/>
            <w:r>
              <w:rPr>
                <w:sz w:val="17"/>
              </w:rPr>
              <w:t>30k to 76k</w:t>
            </w:r>
          </w:p>
        </w:tc>
        <w:tc>
          <w:tcPr>
            <w:tcW w:type="dxa" w:w="1701"/>
          </w:tcPr>
          <w:p>
            <w:pPr>
              <w:spacing w:after="20" w:before="20"/>
            </w:pPr>
            <w:r/>
            <w:r>
              <w:rPr>
                <w:sz w:val="17"/>
              </w:rPr>
              <w:t>1.0M to 2.5M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Freight, installation, commissioning, training (Pheenix, Sibert, Sillitoe, Newbilt beyond its quoted 5 days)</w:t>
            </w:r>
          </w:p>
        </w:tc>
        <w:tc>
          <w:tcPr>
            <w:tcW w:type="dxa" w:w="1701"/>
            <w:shd w:val="clear" w:color="auto" w:fill="F2F5FA"/>
          </w:tcPr>
          <w:p>
            <w:pPr>
              <w:spacing w:after="20" w:before="20"/>
            </w:pPr>
            <w:r/>
            <w:r>
              <w:rPr>
                <w:sz w:val="17"/>
              </w:rPr>
              <w:t>150k to 300k</w:t>
            </w:r>
          </w:p>
        </w:tc>
        <w:tc>
          <w:tcPr>
            <w:tcW w:type="dxa" w:w="1701"/>
            <w:shd w:val="clear" w:color="auto" w:fill="F2F5FA"/>
          </w:tcPr>
          <w:p>
            <w:pPr>
              <w:spacing w:after="20" w:before="20"/>
            </w:pPr>
            <w:r/>
            <w:r>
              <w:rPr>
                <w:sz w:val="17"/>
              </w:rPr>
              <w:t>5.0M to 9.9M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Working capital, PVC stock, spares, lease deposit, first-year rent</w:t>
            </w:r>
          </w:p>
        </w:tc>
        <w:tc>
          <w:tcPr>
            <w:tcW w:type="dxa" w:w="1701"/>
          </w:tcPr>
          <w:p>
            <w:pPr>
              <w:spacing w:after="20" w:before="20"/>
            </w:pPr>
            <w:r/>
            <w:r>
              <w:rPr>
                <w:sz w:val="17"/>
              </w:rPr>
              <w:t>137k to 293k</w:t>
            </w:r>
          </w:p>
        </w:tc>
        <w:tc>
          <w:tcPr>
            <w:tcW w:type="dxa" w:w="1701"/>
          </w:tcPr>
          <w:p>
            <w:pPr>
              <w:spacing w:after="20" w:before="20"/>
            </w:pPr>
            <w:r/>
            <w:r>
              <w:rPr>
                <w:sz w:val="17"/>
              </w:rPr>
              <w:t>4.5M to 9.7M</w:t>
            </w:r>
          </w:p>
        </w:tc>
        <w:tc>
          <w:tcPr>
            <w:tcW w:type="dxa" w:w="3288"/>
          </w:tcPr>
          <w:p>
            <w:pPr>
              <w:spacing w:after="20" w:before="20"/>
            </w:pPr>
            <w:r/>
            <w:r>
              <w:rPr>
                <w:sz w:val="17"/>
              </w:rPr>
              <w:t>Estimate; land is leased, so no land purchase</w:t>
            </w:r>
          </w:p>
        </w:tc>
      </w:tr>
      <w:tr>
        <w:trPr>
          <w:cantSplit/>
        </w:trPr>
        <w:tc>
          <w:tcPr>
            <w:tcW w:type="dxa" w:w="2948"/>
            <w:shd w:val="clear" w:color="auto" w:fill="F2F5FA"/>
          </w:tcPr>
          <w:p>
            <w:pPr>
              <w:spacing w:after="20" w:before="20"/>
            </w:pPr>
            <w:r/>
            <w:r>
              <w:rPr>
                <w:sz w:val="17"/>
              </w:rPr>
              <w:t>Not bought at launch (levers, section 8.2): rooftop PV and battery (solar PPA), visitor corridor, cassette and CD-R duplication</w:t>
            </w:r>
          </w:p>
        </w:tc>
        <w:tc>
          <w:tcPr>
            <w:tcW w:type="dxa" w:w="1701"/>
            <w:shd w:val="clear" w:color="auto" w:fill="F2F5FA"/>
          </w:tcPr>
          <w:p>
            <w:pPr>
              <w:spacing w:after="20" w:before="20"/>
            </w:pPr>
            <w:r/>
            <w:r>
              <w:rPr>
                <w:sz w:val="17"/>
              </w:rPr>
              <w:t>none</w:t>
            </w:r>
          </w:p>
        </w:tc>
        <w:tc>
          <w:tcPr>
            <w:tcW w:type="dxa" w:w="1701"/>
            <w:shd w:val="clear" w:color="auto" w:fill="F2F5FA"/>
          </w:tcPr>
          <w:p>
            <w:pPr>
              <w:spacing w:after="20" w:before="20"/>
            </w:pPr>
            <w:r/>
            <w:r>
              <w:rPr>
                <w:sz w:val="17"/>
              </w:rPr>
              <w:t>none</w:t>
            </w:r>
          </w:p>
        </w:tc>
        <w:tc>
          <w:tcPr>
            <w:tcW w:type="dxa" w:w="3288"/>
            <w:shd w:val="clear" w:color="auto" w:fill="F2F5FA"/>
          </w:tcPr>
          <w:p>
            <w:pPr>
              <w:spacing w:after="20" w:before="20"/>
            </w:pPr>
            <w:r/>
            <w:r>
              <w:rPr>
                <w:sz w:val="17"/>
              </w:rPr>
              <w:t>The PPA installer owns and finances the array; the rest are growth steps from revenue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~3.56M to 6.25M</w:t>
            </w:r>
          </w:p>
        </w:tc>
        <w:tc>
          <w:tcPr>
            <w:tcW w:type="dxa" w:w="1701"/>
          </w:tcPr>
          <w:p>
            <w:pPr>
              <w:spacing w:after="20" w:before="20"/>
            </w:pPr>
            <w:r/>
            <w:r>
              <w:rPr>
                <w:b/>
                <w:sz w:val="17"/>
              </w:rPr>
              <w:t>~117.4M to 206.1M</w:t>
            </w:r>
          </w:p>
        </w:tc>
        <w:tc>
          <w:tcPr>
            <w:tcW w:type="dxa" w:w="3288"/>
          </w:tcPr>
          <w:p>
            <w:pPr>
              <w:spacing w:after="20" w:before="20"/>
            </w:pPr>
            <w:r/>
            <w:r>
              <w:rPr>
                <w:b/>
                <w:sz w:val="17"/>
              </w:rPr>
              <w:t>Midpoint ~161.7M THB (~4.90M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A price</w:t>
            </w:r>
          </w:p>
        </w:tc>
        <w:tc>
          <w:tcPr>
            <w:tcW w:type="dxa" w:w="1701"/>
          </w:tcPr>
          <w:p>
            <w:pPr>
              <w:spacing w:after="20" w:before="20"/>
            </w:pPr>
            <w:r/>
            <w:r>
              <w:rPr>
                <w:b/>
                <w:sz w:val="17"/>
              </w:rPr>
              <w:t>~3.86M to 6.85M</w:t>
            </w:r>
          </w:p>
        </w:tc>
        <w:tc>
          <w:tcPr>
            <w:tcW w:type="dxa" w:w="1701"/>
          </w:tcPr>
          <w:p>
            <w:pPr>
              <w:spacing w:after="20" w:before="20"/>
            </w:pPr>
            <w:r/>
            <w:r>
              <w:rPr>
                <w:b/>
                <w:sz w:val="17"/>
              </w:rPr>
              <w:t>~127M to 226M</w:t>
            </w:r>
          </w:p>
        </w:tc>
        <w:tc>
          <w:tcPr>
            <w:tcW w:type="dxa" w:w="3288"/>
          </w:tcPr>
          <w:p>
            <w:pPr>
              <w:spacing w:after="20" w:before="20"/>
            </w:pPr>
            <w:r/>
            <w:r>
              <w:rPr>
                <w:b/>
                <w:sz w:val="17"/>
              </w:rPr>
              <w:t>Midpoint ~177M THB (~5.35M USD): ~180M THB</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~24M THB at the midpoint</w:t>
            </w:r>
          </w:p>
        </w:tc>
      </w:tr>
    </w:tbl>
    <w:p>
      <w:pPr>
        <w:spacing w:before="40" w:after="160"/>
      </w:pPr>
      <w:r>
        <w:rPr>
          <w:i/>
          <w:color w:val="595959"/>
          <w:sz w:val="17"/>
        </w:rPr>
        <w:t>Source: docs/finance/total-investment.md, 'Two plans', and the Plan A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~24M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A imports its boiler modules and buys less metrology at launch; the estimate is not re-sized for either.</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w:t>
      </w:r>
      <w:r>
        <w:rPr>
          <w:b/>
        </w:rPr>
        <w:t>Plan B</w:t>
      </w:r>
      <w:r>
        <w:rPr/>
        <w:t xml:space="preserve"> adds the second Duplex system at launch, five presses with everything in, at ~225M THB (Plan A plus 25 %). This document is Plan A (~180M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 (this plan)</w:t>
            </w:r>
          </w:p>
        </w:tc>
        <w:tc>
          <w:tcPr>
            <w:tcW w:type="dxa" w:w="3515"/>
            <w:shd w:val="clear" w:color="auto" w:fill="1F3864"/>
          </w:tcPr>
          <w:p>
            <w:pPr>
              <w:spacing w:after="20" w:before="20"/>
            </w:pPr>
            <w:r>
              <w:rPr>
                <w:b/>
              </w:rPr>
            </w:r>
            <w:r>
              <w:rPr>
                <w:b/>
                <w:color w:val="FFFFFF"/>
                <w:sz w:val="17"/>
              </w:rPr>
              <w:t>Plan B</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~177M THB (~5.35M USD): ~180M</w:t>
            </w:r>
          </w:p>
        </w:tc>
        <w:tc>
          <w:tcPr>
            <w:tcW w:type="dxa" w:w="3515"/>
          </w:tcPr>
          <w:p>
            <w:pPr>
              <w:spacing w:after="20" w:before="20"/>
            </w:pPr>
            <w:r/>
            <w:r>
              <w:rPr>
                <w:sz w:val="17"/>
              </w:rPr>
              <w:t>~224M THB (~6.79M USD): ~225M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~127M to 226M THB</w:t>
            </w:r>
          </w:p>
        </w:tc>
        <w:tc>
          <w:tcPr>
            <w:tcW w:type="dxa" w:w="3515"/>
            <w:shd w:val="clear" w:color="auto" w:fill="F2F5FA"/>
          </w:tcPr>
          <w:p>
            <w:pPr>
              <w:spacing w:after="20" w:before="20"/>
            </w:pPr>
            <w:r/>
            <w:r>
              <w:rPr>
                <w:sz w:val="17"/>
              </w:rPr>
              <w:t>~162M to 286M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5: two Duplex systems (four HRP 12) and one Classic</w:t>
            </w:r>
          </w:p>
        </w:tc>
      </w:tr>
      <w:tr>
        <w:trPr>
          <w:cantSplit/>
        </w:trPr>
        <w:tc>
          <w:tcPr>
            <w:tcW w:type="dxa" w:w="2608"/>
            <w:shd w:val="clear" w:color="auto" w:fill="F2F5FA"/>
          </w:tcPr>
          <w:p>
            <w:pPr>
              <w:spacing w:after="20" w:before="20"/>
            </w:pPr>
            <w:r/>
            <w:r>
              <w:rPr>
                <w:sz w:val="17"/>
              </w:rPr>
              <w:t>Records a year at 60 % specials</w:t>
            </w:r>
          </w:p>
        </w:tc>
        <w:tc>
          <w:tcPr>
            <w:tcW w:type="dxa" w:w="3515"/>
            <w:shd w:val="clear" w:color="auto" w:fill="F2F5FA"/>
          </w:tcPr>
          <w:p>
            <w:pPr>
              <w:spacing w:after="20" w:before="20"/>
            </w:pPr>
            <w:r/>
            <w:r>
              <w:rPr>
                <w:sz w:val="17"/>
              </w:rPr>
              <w:t>~0.58 to 0.90M, central 0.74M (Duplex-limited)</w:t>
            </w:r>
          </w:p>
        </w:tc>
        <w:tc>
          <w:tcPr>
            <w:tcW w:type="dxa" w:w="3515"/>
            <w:shd w:val="clear" w:color="auto" w:fill="F2F5FA"/>
          </w:tcPr>
          <w:p>
            <w:pPr>
              <w:spacing w:after="20" w:before="20"/>
            </w:pPr>
            <w:r/>
            <w:r>
              <w:rPr>
                <w:sz w:val="17"/>
              </w:rPr>
              <w:t>~1.0 to 1.5M, central 1.25M</w:t>
            </w:r>
          </w:p>
        </w:tc>
      </w:tr>
      <w:tr>
        <w:trPr>
          <w:cantSplit/>
        </w:trPr>
        <w:tc>
          <w:tcPr>
            <w:tcW w:type="dxa" w:w="2608"/>
          </w:tcPr>
          <w:p>
            <w:pPr>
              <w:spacing w:after="20" w:before="20"/>
            </w:pPr>
            <w:r/>
            <w:r>
              <w:rPr>
                <w:sz w:val="17"/>
              </w:rPr>
              <w:t>Revenue, central</w:t>
            </w:r>
          </w:p>
        </w:tc>
        <w:tc>
          <w:tcPr>
            <w:tcW w:type="dxa" w:w="3515"/>
          </w:tcPr>
          <w:p>
            <w:pPr>
              <w:spacing w:after="20" w:before="20"/>
            </w:pPr>
            <w:r/>
            <w:r>
              <w:rPr>
                <w:sz w:val="17"/>
              </w:rPr>
              <w:t>3.65M USD (~120M THB)</w:t>
            </w:r>
          </w:p>
        </w:tc>
        <w:tc>
          <w:tcPr>
            <w:tcW w:type="dxa" w:w="3515"/>
          </w:tcPr>
          <w:p>
            <w:pPr>
              <w:spacing w:after="20" w:before="20"/>
            </w:pPr>
            <w:r/>
            <w:r>
              <w:rPr>
                <w:sz w:val="17"/>
              </w:rPr>
              <w:t>6.05M USD (~200M THB)</w:t>
            </w:r>
          </w:p>
        </w:tc>
      </w:tr>
      <w:tr>
        <w:trPr>
          <w:cantSplit/>
        </w:trPr>
        <w:tc>
          <w:tcPr>
            <w:tcW w:type="dxa" w:w="2608"/>
            <w:shd w:val="clear" w:color="auto" w:fill="F2F5FA"/>
          </w:tcPr>
          <w:p>
            <w:pPr>
              <w:spacing w:after="20" w:before="20"/>
            </w:pPr>
            <w:r/>
            <w:r>
              <w:rPr>
                <w:sz w:val="17"/>
              </w:rPr>
              <w:t>EBITDA, central</w:t>
            </w:r>
          </w:p>
        </w:tc>
        <w:tc>
          <w:tcPr>
            <w:tcW w:type="dxa" w:w="3515"/>
            <w:shd w:val="clear" w:color="auto" w:fill="F2F5FA"/>
          </w:tcPr>
          <w:p>
            <w:pPr>
              <w:spacing w:after="20" w:before="20"/>
            </w:pPr>
            <w:r/>
            <w:r>
              <w:rPr>
                <w:sz w:val="17"/>
              </w:rPr>
              <w:t>1.73M USD</w:t>
            </w:r>
          </w:p>
        </w:tc>
        <w:tc>
          <w:tcPr>
            <w:tcW w:type="dxa" w:w="3515"/>
            <w:shd w:val="clear" w:color="auto" w:fill="F2F5FA"/>
          </w:tcPr>
          <w:p>
            <w:pPr>
              <w:spacing w:after="20" w:before="20"/>
            </w:pPr>
            <w:r/>
            <w:r>
              <w:rPr>
                <w:sz w:val="17"/>
              </w:rPr>
              <w:t>3.14M USD</w:t>
            </w:r>
          </w:p>
        </w:tc>
      </w:tr>
      <w:tr>
        <w:trPr>
          <w:cantSplit/>
        </w:trPr>
        <w:tc>
          <w:tcPr>
            <w:tcW w:type="dxa" w:w="2608"/>
          </w:tcPr>
          <w:p>
            <w:pPr>
              <w:spacing w:after="20" w:before="20"/>
            </w:pPr>
            <w:r/>
            <w:r>
              <w:rPr>
                <w:sz w:val="17"/>
              </w:rPr>
              <w:t>Operating profit, adverse case</w:t>
            </w:r>
          </w:p>
        </w:tc>
        <w:tc>
          <w:tcPr>
            <w:tcW w:type="dxa" w:w="3515"/>
          </w:tcPr>
          <w:p>
            <w:pPr>
              <w:spacing w:after="20" w:before="20"/>
            </w:pPr>
            <w:r/>
            <w:r>
              <w:rPr>
                <w:sz w:val="17"/>
              </w:rPr>
              <w:t>-0.39M USD: loses money</w:t>
            </w:r>
          </w:p>
        </w:tc>
        <w:tc>
          <w:tcPr>
            <w:tcW w:type="dxa" w:w="3515"/>
          </w:tcPr>
          <w:p>
            <w:pPr>
              <w:spacing w:after="20" w:before="20"/>
            </w:pPr>
            <w:r/>
            <w:r>
              <w:rPr>
                <w:sz w:val="17"/>
              </w:rPr>
              <w:t>0.02M USD: just covers depreciation</w:t>
            </w:r>
          </w:p>
        </w:tc>
      </w:tr>
      <w:tr>
        <w:trPr>
          <w:cantSplit/>
        </w:trPr>
        <w:tc>
          <w:tcPr>
            <w:tcW w:type="dxa" w:w="2608"/>
            <w:shd w:val="clear" w:color="auto" w:fill="F2F5FA"/>
          </w:tcPr>
          <w:p>
            <w:pPr>
              <w:spacing w:after="20" w:before="20"/>
            </w:pPr>
            <w:r/>
            <w:r>
              <w:rPr>
                <w:sz w:val="17"/>
              </w:rPr>
              <w:t>Payback on the plan price, central (EBITDA, mature year)</w:t>
            </w:r>
          </w:p>
        </w:tc>
        <w:tc>
          <w:tcPr>
            <w:tcW w:type="dxa" w:w="3515"/>
            <w:shd w:val="clear" w:color="auto" w:fill="F2F5FA"/>
          </w:tcPr>
          <w:p>
            <w:pPr>
              <w:spacing w:after="20" w:before="20"/>
            </w:pPr>
            <w:r/>
            <w:r>
              <w:rPr>
                <w:sz w:val="17"/>
              </w:rPr>
              <w:t>~3.1 yr (2.2 to 4.0)</w:t>
            </w:r>
          </w:p>
        </w:tc>
        <w:tc>
          <w:tcPr>
            <w:tcW w:type="dxa" w:w="3515"/>
            <w:shd w:val="clear" w:color="auto" w:fill="F2F5FA"/>
          </w:tcPr>
          <w:p>
            <w:pPr>
              <w:spacing w:after="20" w:before="20"/>
            </w:pPr>
            <w:r/>
            <w:r>
              <w:rPr>
                <w:sz w:val="17"/>
              </w:rPr>
              <w:t>~2.2 yr (1.6 to 2.8)</w:t>
            </w:r>
          </w:p>
        </w:tc>
      </w:tr>
      <w:tr>
        <w:trPr>
          <w:cantSplit/>
        </w:trPr>
        <w:tc>
          <w:tcPr>
            <w:tcW w:type="dxa" w:w="2608"/>
          </w:tcPr>
          <w:p>
            <w:pPr>
              <w:spacing w:after="20" w:before="20"/>
            </w:pPr>
            <w:r/>
            <w:r>
              <w:rPr>
                <w:sz w:val="17"/>
              </w:rPr>
              <w:t>What it gives up or takes on</w:t>
            </w:r>
          </w:p>
        </w:tc>
        <w:tc>
          <w:tcPr>
            <w:tcW w:type="dxa" w:w="3515"/>
          </w:tcPr>
          <w:p>
            <w:pPr>
              <w:spacing w:after="20" w:before="20"/>
            </w:pPr>
            <w:r/>
            <w:r>
              <w:rPr>
                <w:sz w:val="17"/>
              </w:rPr>
              <w:t>Six levers: solar through a PPA (very likely without the BOI solar measure), confocal and profiler from revenue, no tours at first, cassette and CD-R later, a rented crane, Chinese boilers and compressor; the second Duplex waits for revenue</w:t>
            </w:r>
          </w:p>
        </w:tc>
        <w:tc>
          <w:tcPr>
            <w:tcW w:type="dxa" w:w="3515"/>
          </w:tcPr>
          <w:p>
            <w:pPr>
              <w:spacing w:after="20" w:before="20"/>
            </w:pPr>
            <w:r/>
            <w:r>
              <w:rPr>
                <w:sz w:val="17"/>
              </w:rPr>
              <w:t>No levers; needs ~1.25M records sold a year, ~0.75M of them specials, which the market data does not show yet; a longer ramp on the same reserve; ~27 % more capital</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A: six levers, every machine kept.</w:t>
      </w:r>
      <w:r>
        <w:rPr/>
        <w:t xml:space="preserve"> From the launch plant with every block, no contingency, midpoint values:</w:t>
      </w:r>
    </w:p>
    <w:tbl>
      <w:tblPr>
        <w:tblStyle w:val="TableGrid"/>
        <w:tblW w:type="auto" w:w="0"/>
        <w:jc w:val="center"/>
        <w:tblLayout w:type="fixed"/>
        <w:tblLook w:firstColumn="1" w:firstRow="1" w:lastColumn="0" w:lastRow="0" w:noHBand="0" w:noVBand="1" w:val="04A0"/>
      </w:tblPr>
      <w:tblGrid>
        <w:gridCol w:w="3175"/>
        <w:gridCol w:w="907"/>
        <w:gridCol w:w="1814"/>
        <w:gridCol w:w="3742"/>
      </w:tblGrid>
      <w:tr>
        <w:trPr>
          <w:tblHeader w:val="true"/>
          <w:cantSplit/>
        </w:trPr>
        <w:tc>
          <w:tcPr>
            <w:tcW w:type="dxa" w:w="3175"/>
            <w:shd w:val="clear" w:color="auto" w:fill="1F3864"/>
          </w:tcPr>
          <w:p>
            <w:pPr>
              <w:spacing w:after="20" w:before="20"/>
            </w:pPr>
            <w:r>
              <w:rPr>
                <w:b/>
              </w:rPr>
            </w:r>
            <w:r>
              <w:rPr>
                <w:b/>
                <w:color w:val="FFFFFF"/>
                <w:sz w:val="17"/>
              </w:rPr>
              <w:t>Step</w:t>
            </w:r>
          </w:p>
        </w:tc>
        <w:tc>
          <w:tcPr>
            <w:tcW w:type="dxa" w:w="907"/>
            <w:shd w:val="clear" w:color="auto" w:fill="1F3864"/>
          </w:tcPr>
          <w:p>
            <w:pPr>
              <w:spacing w:after="20" w:before="20"/>
            </w:pPr>
            <w:r>
              <w:rPr>
                <w:b/>
              </w:rPr>
            </w:r>
            <w:r>
              <w:rPr>
                <w:b/>
                <w:color w:val="FFFFFF"/>
                <w:sz w:val="17"/>
              </w:rPr>
              <w:t>Saves</w:t>
            </w:r>
          </w:p>
        </w:tc>
        <w:tc>
          <w:tcPr>
            <w:tcW w:type="dxa" w:w="1814"/>
            <w:shd w:val="clear" w:color="auto" w:fill="1F3864"/>
          </w:tcPr>
          <w:p>
            <w:pPr>
              <w:spacing w:after="20" w:before="20"/>
            </w:pPr>
            <w:r>
              <w:rPr>
                <w:b/>
              </w:rPr>
            </w:r>
            <w:r>
              <w:rPr>
                <w:b/>
                <w:color w:val="FFFFFF"/>
                <w:sz w:val="17"/>
              </w:rPr>
              <w:t>Subtotal after it</w:t>
            </w:r>
          </w:p>
        </w:tc>
        <w:tc>
          <w:tcPr>
            <w:tcW w:type="dxa" w:w="3742"/>
            <w:shd w:val="clear" w:color="auto" w:fill="1F3864"/>
          </w:tcPr>
          <w:p>
            <w:pPr>
              <w:spacing w:after="20" w:before="20"/>
            </w:pPr>
            <w:r>
              <w:rPr>
                <w:b/>
              </w:rPr>
            </w:r>
            <w:r>
              <w:rPr>
                <w:b/>
                <w:color w:val="FFFFFF"/>
                <w:sz w:val="17"/>
              </w:rPr>
              <w:t>What it gives up</w:t>
            </w:r>
          </w:p>
        </w:tc>
      </w:tr>
      <w:tr>
        <w:trPr>
          <w:cantSplit/>
        </w:trPr>
        <w:tc>
          <w:tcPr>
            <w:tcW w:type="dxa" w:w="3175"/>
          </w:tcPr>
          <w:p>
            <w:pPr>
              <w:spacing w:after="20" w:before="20"/>
            </w:pPr>
            <w:r/>
            <w:r>
              <w:rPr>
                <w:sz w:val="17"/>
              </w:rPr>
              <w:t>Launch plant, every block, no contingency</w:t>
            </w:r>
          </w:p>
        </w:tc>
        <w:tc>
          <w:tcPr>
            <w:tcW w:type="dxa" w:w="907"/>
          </w:tcPr>
          <w:p>
            <w:pPr>
              <w:spacing w:after="20" w:before="20"/>
            </w:pPr>
            <w:r/>
          </w:p>
        </w:tc>
        <w:tc>
          <w:tcPr>
            <w:tcW w:type="dxa" w:w="1814"/>
          </w:tcPr>
          <w:p>
            <w:pPr>
              <w:spacing w:after="20" w:before="20"/>
            </w:pPr>
            <w:r/>
            <w:r>
              <w:rPr>
                <w:sz w:val="17"/>
              </w:rPr>
              <w:t>~193.8M THB (~5.87M USD)</w:t>
            </w:r>
          </w:p>
        </w:tc>
        <w:tc>
          <w:tcPr>
            <w:tcW w:type="dxa" w:w="3742"/>
          </w:tcPr>
          <w:p>
            <w:pPr>
              <w:spacing w:after="20" w:before="20"/>
            </w:pPr>
            <w:r/>
          </w:p>
        </w:tc>
      </w:tr>
      <w:tr>
        <w:trPr>
          <w:cantSplit/>
        </w:trPr>
        <w:tc>
          <w:tcPr>
            <w:tcW w:type="dxa" w:w="3175"/>
            <w:shd w:val="clear" w:color="auto" w:fill="F2F5FA"/>
          </w:tcPr>
          <w:p>
            <w:pPr>
              <w:spacing w:after="20" w:before="20"/>
            </w:pPr>
            <w:r/>
            <w:r>
              <w:rPr>
                <w:sz w:val="17"/>
              </w:rPr>
              <w:t>1. Rooftop solar and battery through a solar PPA (the installer owns and finances the array; the plant buys the power)</w:t>
            </w:r>
          </w:p>
        </w:tc>
        <w:tc>
          <w:tcPr>
            <w:tcW w:type="dxa" w:w="907"/>
            <w:shd w:val="clear" w:color="auto" w:fill="F2F5FA"/>
          </w:tcPr>
          <w:p>
            <w:pPr>
              <w:spacing w:after="20" w:before="20"/>
            </w:pPr>
            <w:r/>
            <w:r>
              <w:rPr>
                <w:sz w:val="17"/>
              </w:rPr>
              <w:t>~10.7M</w:t>
            </w:r>
          </w:p>
        </w:tc>
        <w:tc>
          <w:tcPr>
            <w:tcW w:type="dxa" w:w="1814"/>
            <w:shd w:val="clear" w:color="auto" w:fill="F2F5FA"/>
          </w:tcPr>
          <w:p>
            <w:pPr>
              <w:spacing w:after="20" w:before="20"/>
            </w:pPr>
            <w:r/>
            <w:r>
              <w:rPr>
                <w:sz w:val="17"/>
              </w:rPr>
              <w:t>~183.1M</w:t>
            </w:r>
          </w:p>
        </w:tc>
        <w:tc>
          <w:tcPr>
            <w:tcW w:type="dxa" w:w="3742"/>
            <w:shd w:val="clear" w:color="auto" w:fill="F2F5FA"/>
          </w:tcPr>
          <w:p>
            <w:pPr>
              <w:spacing w:after="20" w:before="20"/>
            </w:pPr>
            <w:r/>
            <w:r>
              <w:rPr>
                <w:sz w:val="17"/>
              </w:rPr>
              <w:t>Owned solar and very likely the BOI solar measure with its tax benefit (our reading, for the BOI consultant); adds the PPA power price to the energy bill, ~0.03M USD a year in the calculator at 3.0 THB/kWh (estimate, to quote)</w:t>
            </w:r>
          </w:p>
        </w:tc>
      </w:tr>
      <w:tr>
        <w:trPr>
          <w:cantSplit/>
        </w:trPr>
        <w:tc>
          <w:tcPr>
            <w:tcW w:type="dxa" w:w="3175"/>
          </w:tcPr>
          <w:p>
            <w:pPr>
              <w:spacing w:after="20" w:before="20"/>
            </w:pPr>
            <w:r/>
            <w:r>
              <w:rPr>
                <w:sz w:val="17"/>
              </w:rPr>
              <w:t>2. Metrology launch tier: XRF, inline vision and audio station at launch; laser confocal and wide-area profiler (USD 180k to 350k) bought from revenue</w:t>
            </w:r>
          </w:p>
        </w:tc>
        <w:tc>
          <w:tcPr>
            <w:tcW w:type="dxa" w:w="907"/>
          </w:tcPr>
          <w:p>
            <w:pPr>
              <w:spacing w:after="20" w:before="20"/>
            </w:pPr>
            <w:r/>
            <w:r>
              <w:rPr>
                <w:sz w:val="17"/>
              </w:rPr>
              <w:t>~8.8M</w:t>
            </w:r>
          </w:p>
        </w:tc>
        <w:tc>
          <w:tcPr>
            <w:tcW w:type="dxa" w:w="1814"/>
          </w:tcPr>
          <w:p>
            <w:pPr>
              <w:spacing w:after="20" w:before="20"/>
            </w:pPr>
            <w:r/>
            <w:r>
              <w:rPr>
                <w:sz w:val="17"/>
              </w:rPr>
              <w:t>~174.4M</w:t>
            </w:r>
          </w:p>
        </w:tc>
        <w:tc>
          <w:tcPr>
            <w:tcW w:type="dxa" w:w="3742"/>
          </w:tcPr>
          <w:p>
            <w:pPr>
              <w:spacing w:after="20" w:before="20"/>
            </w:pPr>
            <w:r/>
            <w:r>
              <w:rPr>
                <w:sz w:val="17"/>
              </w:rPr>
              <w:t>Every stamper and record is still measured (XRF, inline vision on the presses, audio station); the confocal and the profiler come later</w:t>
            </w:r>
          </w:p>
        </w:tc>
      </w:tr>
      <w:tr>
        <w:trPr>
          <w:cantSplit/>
        </w:trPr>
        <w:tc>
          <w:tcPr>
            <w:tcW w:type="dxa" w:w="3175"/>
            <w:shd w:val="clear" w:color="auto" w:fill="F2F5FA"/>
          </w:tcPr>
          <w:p>
            <w:pPr>
              <w:spacing w:after="20" w:before="20"/>
            </w:pPr>
            <w:r/>
            <w:r>
              <w:rPr>
                <w:sz w:val="17"/>
              </w:rPr>
              <w:t>3. Visitor corridor built later</w:t>
            </w:r>
          </w:p>
        </w:tc>
        <w:tc>
          <w:tcPr>
            <w:tcW w:type="dxa" w:w="907"/>
            <w:shd w:val="clear" w:color="auto" w:fill="F2F5FA"/>
          </w:tcPr>
          <w:p>
            <w:pPr>
              <w:spacing w:after="20" w:before="20"/>
            </w:pPr>
            <w:r/>
            <w:r>
              <w:rPr>
                <w:sz w:val="17"/>
              </w:rPr>
              <w:t>~3.6M</w:t>
            </w:r>
          </w:p>
        </w:tc>
        <w:tc>
          <w:tcPr>
            <w:tcW w:type="dxa" w:w="1814"/>
            <w:shd w:val="clear" w:color="auto" w:fill="F2F5FA"/>
          </w:tcPr>
          <w:p>
            <w:pPr>
              <w:spacing w:after="20" w:before="20"/>
            </w:pPr>
            <w:r/>
            <w:r>
              <w:rPr>
                <w:sz w:val="17"/>
              </w:rPr>
              <w:t>~170.8M</w:t>
            </w:r>
          </w:p>
        </w:tc>
        <w:tc>
          <w:tcPr>
            <w:tcW w:type="dxa" w:w="3742"/>
            <w:shd w:val="clear" w:color="auto" w:fill="F2F5FA"/>
          </w:tcPr>
          <w:p>
            <w:pPr>
              <w:spacing w:after="20" w:before="20"/>
            </w:pPr>
            <w:r/>
            <w:r>
              <w:rPr>
                <w:sz w:val="17"/>
              </w:rPr>
              <w:t>No public tours at first: the tour route and the Payap programmes around it start later</w:t>
            </w:r>
          </w:p>
        </w:tc>
      </w:tr>
      <w:tr>
        <w:trPr>
          <w:cantSplit/>
        </w:trPr>
        <w:tc>
          <w:tcPr>
            <w:tcW w:type="dxa" w:w="3175"/>
          </w:tcPr>
          <w:p>
            <w:pPr>
              <w:spacing w:after="20" w:before="20"/>
            </w:pPr>
            <w:r/>
            <w:r>
              <w:rPr>
                <w:sz w:val="17"/>
              </w:rPr>
              <w:t>4. Cassette and CD-R duplication later</w:t>
            </w:r>
          </w:p>
        </w:tc>
        <w:tc>
          <w:tcPr>
            <w:tcW w:type="dxa" w:w="907"/>
          </w:tcPr>
          <w:p>
            <w:pPr>
              <w:spacing w:after="20" w:before="20"/>
            </w:pPr>
            <w:r/>
            <w:r>
              <w:rPr>
                <w:sz w:val="17"/>
              </w:rPr>
              <w:t>~4.0M</w:t>
            </w:r>
          </w:p>
        </w:tc>
        <w:tc>
          <w:tcPr>
            <w:tcW w:type="dxa" w:w="1814"/>
          </w:tcPr>
          <w:p>
            <w:pPr>
              <w:spacing w:after="20" w:before="20"/>
            </w:pPr>
            <w:r/>
            <w:r>
              <w:rPr>
                <w:sz w:val="17"/>
              </w:rPr>
              <w:t>~166.8M</w:t>
            </w:r>
          </w:p>
        </w:tc>
        <w:tc>
          <w:tcPr>
            <w:tcW w:type="dxa" w:w="3742"/>
          </w:tcPr>
          <w:p>
            <w:pPr>
              <w:spacing w:after="20" w:before="20"/>
            </w:pPr>
            <w:r/>
            <w:r>
              <w:rPr>
                <w:sz w:val="17"/>
              </w:rPr>
              <w:t>No cassette or CD-R at launch; a growth step</w:t>
            </w:r>
          </w:p>
        </w:tc>
      </w:tr>
      <w:tr>
        <w:trPr>
          <w:cantSplit/>
        </w:trPr>
        <w:tc>
          <w:tcPr>
            <w:tcW w:type="dxa" w:w="3175"/>
            <w:shd w:val="clear" w:color="auto" w:fill="F2F5FA"/>
          </w:tcPr>
          <w:p>
            <w:pPr>
              <w:spacing w:after="20" w:before="20"/>
            </w:pPr>
            <w:r/>
            <w:r>
              <w:rPr>
                <w:sz w:val="17"/>
              </w:rPr>
              <w:t>5. Crane rented for the installations (mobile crane)</w:t>
            </w:r>
          </w:p>
        </w:tc>
        <w:tc>
          <w:tcPr>
            <w:tcW w:type="dxa" w:w="907"/>
            <w:shd w:val="clear" w:color="auto" w:fill="F2F5FA"/>
          </w:tcPr>
          <w:p>
            <w:pPr>
              <w:spacing w:after="20" w:before="20"/>
            </w:pPr>
            <w:r/>
            <w:r>
              <w:rPr>
                <w:sz w:val="17"/>
              </w:rPr>
              <w:t>~3.2M</w:t>
            </w:r>
          </w:p>
        </w:tc>
        <w:tc>
          <w:tcPr>
            <w:tcW w:type="dxa" w:w="1814"/>
            <w:shd w:val="clear" w:color="auto" w:fill="F2F5FA"/>
          </w:tcPr>
          <w:p>
            <w:pPr>
              <w:spacing w:after="20" w:before="20"/>
            </w:pPr>
            <w:r/>
            <w:r>
              <w:rPr>
                <w:sz w:val="17"/>
              </w:rPr>
              <w:t>~163.6M</w:t>
            </w:r>
          </w:p>
        </w:tc>
        <w:tc>
          <w:tcPr>
            <w:tcW w:type="dxa" w:w="3742"/>
            <w:shd w:val="clear" w:color="auto" w:fill="F2F5FA"/>
          </w:tcPr>
          <w:p>
            <w:pPr>
              <w:spacing w:after="20" w:before="20"/>
            </w:pPr>
            <w:r/>
            <w:r>
              <w:rPr>
                <w:sz w:val="17"/>
              </w:rPr>
              <w:t>No overhead crane at first; frame, runway and machine door stay crane-ready, so it can be bought later if needed</w:t>
            </w:r>
          </w:p>
        </w:tc>
      </w:tr>
      <w:tr>
        <w:trPr>
          <w:cantSplit/>
        </w:trPr>
        <w:tc>
          <w:tcPr>
            <w:tcW w:type="dxa" w:w="3175"/>
          </w:tcPr>
          <w:p>
            <w:pPr>
              <w:spacing w:after="20" w:before="20"/>
            </w:pPr>
            <w:r/>
            <w:r>
              <w:rPr>
                <w:sz w:val="17"/>
              </w:rPr>
              <w:t>6. Boilers and compressor through the Chinese route</w:t>
            </w:r>
          </w:p>
        </w:tc>
        <w:tc>
          <w:tcPr>
            <w:tcW w:type="dxa" w:w="907"/>
          </w:tcPr>
          <w:p>
            <w:pPr>
              <w:spacing w:after="20" w:before="20"/>
            </w:pPr>
            <w:r/>
            <w:r>
              <w:rPr>
                <w:sz w:val="17"/>
              </w:rPr>
              <w:t>~1.9M</w:t>
            </w:r>
          </w:p>
        </w:tc>
        <w:tc>
          <w:tcPr>
            <w:tcW w:type="dxa" w:w="1814"/>
          </w:tcPr>
          <w:p>
            <w:pPr>
              <w:spacing w:after="20" w:before="20"/>
            </w:pPr>
            <w:r/>
            <w:r>
              <w:rPr>
                <w:b/>
                <w:sz w:val="17"/>
              </w:rPr>
              <w:t>~161.7M (~4.90M USD)</w:t>
            </w:r>
          </w:p>
        </w:tc>
        <w:tc>
          <w:tcPr>
            <w:tcW w:type="dxa" w:w="3742"/>
          </w:tcPr>
          <w:p>
            <w:pPr>
              <w:spacing w:after="20" w:before="20"/>
            </w:pPr>
            <w:r/>
            <w:r>
              <w:rPr>
                <w:sz w:val="17"/>
              </w:rPr>
              <w:t>Imported boilers take the Thai route (Ministry of Industry boiler notification B.E. 2549: design and import rules, a certification body registered with the Department of Industrial Works) with an ASME S stamp at 1.25 MPa</w:t>
            </w:r>
          </w:p>
        </w:tc>
      </w:tr>
      <w:tr>
        <w:trPr>
          <w:cantSplit/>
        </w:trPr>
        <w:tc>
          <w:tcPr>
            <w:tcW w:type="dxa" w:w="3175"/>
            <w:shd w:val="clear" w:color="auto" w:fill="F2F5FA"/>
          </w:tcPr>
          <w:p>
            <w:pPr>
              <w:spacing w:after="20" w:before="20"/>
            </w:pPr>
            <w:r/>
            <w:r>
              <w:rPr>
                <w:sz w:val="17"/>
              </w:rPr>
              <w:t>Ramp-up reserve</w:t>
            </w:r>
          </w:p>
        </w:tc>
        <w:tc>
          <w:tcPr>
            <w:tcW w:type="dxa" w:w="907"/>
            <w:shd w:val="clear" w:color="auto" w:fill="F2F5FA"/>
          </w:tcPr>
          <w:p>
            <w:pPr>
              <w:spacing w:after="20" w:before="20"/>
            </w:pPr>
            <w:r/>
          </w:p>
        </w:tc>
        <w:tc>
          <w:tcPr>
            <w:tcW w:type="dxa" w:w="1814"/>
            <w:shd w:val="clear" w:color="auto" w:fill="F2F5FA"/>
          </w:tcPr>
          <w:p>
            <w:pPr>
              <w:spacing w:after="20" w:before="20"/>
            </w:pPr>
            <w:r/>
            <w:r>
              <w:rPr>
                <w:sz w:val="17"/>
              </w:rPr>
              <w:t>+10M to 20M</w:t>
            </w:r>
          </w:p>
        </w:tc>
        <w:tc>
          <w:tcPr>
            <w:tcW w:type="dxa" w:w="3742"/>
            <w:shd w:val="clear" w:color="auto" w:fill="F2F5FA"/>
          </w:tcPr>
          <w:p>
            <w:pPr>
              <w:spacing w:after="20" w:before="20"/>
            </w:pPr>
            <w:r/>
          </w:p>
        </w:tc>
      </w:tr>
      <w:tr>
        <w:trPr>
          <w:cantSplit/>
        </w:trPr>
        <w:tc>
          <w:tcPr>
            <w:tcW w:type="dxa" w:w="3175"/>
          </w:tcPr>
          <w:p>
            <w:pPr>
              <w:spacing w:after="20" w:before="20"/>
            </w:pPr>
            <w:r/>
            <w:r>
              <w:rPr>
                <w:b/>
                <w:sz w:val="17"/>
              </w:rPr>
              <w:t>Plan A</w:t>
            </w:r>
          </w:p>
        </w:tc>
        <w:tc>
          <w:tcPr>
            <w:tcW w:type="dxa" w:w="907"/>
          </w:tcPr>
          <w:p>
            <w:pPr>
              <w:spacing w:after="20" w:before="20"/>
            </w:pPr>
            <w:r/>
          </w:p>
        </w:tc>
        <w:tc>
          <w:tcPr>
            <w:tcW w:type="dxa" w:w="1814"/>
          </w:tcPr>
          <w:p>
            <w:pPr>
              <w:spacing w:after="20" w:before="20"/>
            </w:pPr>
            <w:r/>
            <w:r>
              <w:rPr>
                <w:b/>
                <w:sz w:val="17"/>
              </w:rPr>
              <w:t>~177M THB (~5.35M USD)</w:t>
            </w:r>
          </w:p>
        </w:tc>
        <w:tc>
          <w:tcPr>
            <w:tcW w:type="dxa" w:w="3742"/>
          </w:tcPr>
          <w:p>
            <w:pPr>
              <w:spacing w:after="20" w:before="20"/>
            </w:pPr>
            <w:r/>
            <w:r>
              <w:rPr>
                <w:sz w:val="17"/>
              </w:rPr>
              <w:t>~127M to 226M from the low to the high end of every block</w:t>
            </w:r>
          </w:p>
        </w:tc>
      </w:tr>
    </w:tbl>
    <w:p>
      <w:pPr>
        <w:spacing w:before="40" w:after="160"/>
      </w:pPr>
      <w:r>
        <w:rPr>
          <w:i/>
          <w:color w:val="595959"/>
          <w:sz w:val="17"/>
        </w:rPr>
        <w:t>Midpoint values without contingency, estimates; docs/finance/total-investment.md 'Two plans'. The levers keep every machine of the launch plant.</w:t>
      </w:r>
    </w:p>
    <w:p>
      <w:r>
        <w:rPr/>
        <w:t>Plan B takes none of these levers and adds the second Duplex system, a third chiller module, their freight and installation and the working capital for ~1.25M records: ~209.2M THB before the reserve, ~224M with it.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Demand first.</w:t>
            </w:r>
            <w:r>
              <w:rPr>
                <w:sz w:val="20"/>
              </w:rPr>
              <w:t xml:space="preserve"> Plan B needs ~1.25 million records sold a year in its central case, about 70 % more than Plan A's 0.74 million, three fifths of them special editions. Market validation (section 14.1, item 1) is the evidence for that, and it is not in yet.</w:t>
            </w:r>
          </w:p>
          <w:p>
            <w:pPr>
              <w:spacing w:after="60"/>
              <w:ind w:left="227"/>
            </w:pPr>
            <w:r>
              <w:rPr>
                <w:sz w:val="20"/>
              </w:rPr>
              <w:t xml:space="preserve">•  </w:t>
            </w:r>
            <w:r>
              <w:rPr>
                <w:b/>
                <w:sz w:val="20"/>
              </w:rPr>
              <w:t>The quotes.</w:t>
            </w:r>
            <w:r>
              <w:rPr>
                <w:sz w:val="20"/>
              </w:rPr>
              <w:t xml:space="preserve"> The Newbilt re-quote for the Classic and the EX 35 (in Plan B also the second Duplex system), the Pheenix quote against the OMS reference, the building quote with the soil test, and, for Plan A, the solar PPA offer.</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11 is the budget check of the plant and business plan calculator with the Plan A (~180M THB) preset, contingency kept out of the total as in this plan.</w:t>
      </w:r>
    </w:p>
    <w:p>
      <w:pPr>
        <w:jc w:val="center"/>
      </w:pPr>
      <w:r>
        <w:drawing>
          <wp:inline xmlns:a="http://schemas.openxmlformats.org/drawingml/2006/main" xmlns:pic="http://schemas.openxmlformats.org/drawingml/2006/picture">
            <wp:extent cx="5760000" cy="3603380"/>
            <wp:docPr id="12" name="Picture 12"/>
            <wp:cNvGraphicFramePr>
              <a:graphicFrameLocks noChangeAspect="1"/>
            </wp:cNvGraphicFramePr>
            <a:graphic>
              <a:graphicData uri="http://schemas.openxmlformats.org/drawingml/2006/picture">
                <pic:pic>
                  <pic:nvPicPr>
                    <pic:cNvPr id="0" name="plan-a-budget.png"/>
                    <pic:cNvPicPr/>
                  </pic:nvPicPr>
                  <pic:blipFill>
                    <a:blip r:embed="rId22"/>
                    <a:stretch>
                      <a:fillRect/>
                    </a:stretch>
                  </pic:blipFill>
                  <pic:spPr>
                    <a:xfrm>
                      <a:off x="0" y="0"/>
                      <a:ext cx="5760000" cy="3603380"/>
                    </a:xfrm>
                    <a:prstGeom prst="rect"/>
                  </pic:spPr>
                </pic:pic>
              </a:graphicData>
            </a:graphic>
          </wp:inline>
        </w:drawing>
      </w:r>
    </w:p>
    <w:p>
      <w:pPr>
        <w:spacing w:before="40" w:after="160"/>
      </w:pPr>
      <w:r>
        <w:rPr>
          <w:i/>
          <w:color w:val="595959"/>
          <w:sz w:val="17"/>
        </w:rPr>
        <w:t>Figure 11. Budget card of the plant and business plan calculator, Plan A preset: 161.7M THB at the midpoint without contingency, 171.7M to 181.7M with the ramp-up reserve of 10M to 20M, inside 180M at the midpoint.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first boiler and chiller modules (boilers and compressor through the Chinese route)</w:t>
            </w:r>
          </w:p>
        </w:tc>
        <w:tc>
          <w:tcPr>
            <w:tcW w:type="dxa" w:w="1814"/>
            <w:shd w:val="clear" w:color="auto" w:fill="F2F5FA"/>
          </w:tcPr>
          <w:p>
            <w:pPr>
              <w:spacing w:after="20" w:before="20"/>
            </w:pPr>
            <w:r/>
            <w:r>
              <w:rPr>
                <w:sz w:val="17"/>
              </w:rPr>
              <w:t>20 to 30 % (~32M to 49M)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(~57M to 73M)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the rented crane for the installations, the metrology launch tier, factory software and ERPNext, the launch team</w:t>
            </w:r>
          </w:p>
        </w:tc>
        <w:tc>
          <w:tcPr>
            <w:tcW w:type="dxa" w:w="1814"/>
            <w:shd w:val="clear" w:color="auto" w:fill="F2F5FA"/>
          </w:tcPr>
          <w:p>
            <w:pPr>
              <w:spacing w:after="20" w:before="20"/>
            </w:pPr>
            <w:r/>
            <w:r>
              <w:rPr>
                <w:sz w:val="17"/>
              </w:rPr>
              <w:t>15 to 20 % (~24M to 32M)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(~13M to 19M), plus the reserve</w:t>
            </w:r>
          </w:p>
        </w:tc>
      </w:tr>
    </w:tbl>
    <w:p>
      <w:pPr>
        <w:spacing w:before="40" w:after="160"/>
      </w:pPr>
      <w:r>
        <w:rPr>
          <w:i/>
          <w:color w:val="595959"/>
          <w:sz w:val="17"/>
        </w:rPr>
        <w:t>Shares of Plan A's investment before the reserve (~161.7M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A's ~177M THB is the midpoint of every block with the ramp-up reserve and no buffer: at 15 % a contingency would add ~24M THB, and the high end of every block comes to ~226M.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the building depends on the soil; and the solar PPA lever depends on an offer. The Newbilt re-quote, the Pheenix quote, the building request with a soil test, the metrology distributor quotes and the PPA offers settle most of the band.</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solar spend converts into corporate income tax exemption headroom. The application precedes every purchase order. The solar measure is based on the plant's own solar investment, so Plan A's solar PPA would likely give that headroom up (our reading, a question for the BOI consultant).</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Chinese suppliers: taken where they pay.</w:t>
      </w:r>
      <w:r>
        <w:rPr/>
        <w:t xml:space="preserve"> Plan A buys the boiler modules and the compressor through the Chinese route (~1.9M THB at the midpoint, about 1 % of the price); the Newbilt hydraulic aggregates stay Newbilt's. Chillers and HVAC, the larger blocks, are not checked yet; that is the next Chinese lever to test.</w:t>
      </w:r>
    </w:p>
    <w:p>
      <w:pPr>
        <w:pStyle w:val="ListBullet"/>
      </w:pPr>
      <w:r>
        <w:rPr>
          <w:b/>
        </w:rPr>
        <w:t>Solar PPA.</w:t>
      </w:r>
      <w:r>
        <w:rPr/>
        <w:t xml:space="preserve"> The largest single lever (~10.7M THB at the midpoint) moves the array off the capital budget and adds a power price to the energy line instead (~0.03M USD a year in the calculator at 3.0 THB/kWh, an estimate to quote).</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A's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A models 200 to 400 titles a year; mastering is labour-bound, and the plan staffs one to two engineers, which caps this line.</w:t>
      </w:r>
    </w:p>
    <w:p>
      <w:pPr>
        <w:pStyle w:val="ListBullet"/>
      </w:pPr>
      <w:r>
        <w:rPr>
          <w:b/>
        </w:rPr>
        <w:t>Cassettes and CD-Rs</w:t>
      </w:r>
      <w:r>
        <w:rPr/>
        <w:t xml:space="preserve"> come later in Plan A (a growth step, lever 4) and are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and </w:t>
      </w:r>
      <w:r>
        <w:rPr>
          <w:b/>
        </w:rPr>
        <w:t>stamper supply to other plants</w:t>
      </w:r>
      <w:r>
        <w:rPr/>
        <w:t xml:space="preserve"> are on top and not modelled.</w:t>
      </w:r>
    </w:p>
    <w:p>
      <w:pPr>
        <w:pStyle w:val="Heading2"/>
      </w:pPr>
      <w:r>
        <w:t>9.2 Capacity and revenue of Plan A</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A</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(0.08 to 0.16 on five presses)</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A</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Why labour per record is higher than in the September draft.</w:t>
      </w:r>
      <w:r>
        <w:rPr/>
        <w:t xml:space="preserve"> Two shifts need the full press, finishing, galvanics, QC and maintenance crews whether the hall holds three presses or five, so the direct payroll stays at 3.7M to 5.4M THB a year (113k to 163k USD) while the volume falls from 1.0 to 1.5 million records to 0.58 to 0.90 million. Labour per record rises to </w:t>
      </w:r>
      <w:r>
        <w:rPr>
          <w:b/>
        </w:rPr>
        <w:t>0.13 / 0.19 / 0.28 USD</w:t>
      </w:r>
      <w:r>
        <w:rPr/>
        <w:t xml:space="preserve"> (favourable / central / adverse), and the direct cost to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A</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(6.25M USD) over 10 years (adverse), the midpoint (4.90M USD) over 12.5 years (central) and the low end (3.56M USD) over 15 years (favourable). Payback is counted on the whole plan price including the ramp-up reserve (3.86M / 5.35M / 6.85M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0.62M</w:t>
            </w:r>
          </w:p>
        </w:tc>
        <w:tc>
          <w:tcPr>
            <w:tcW w:type="dxa" w:w="2721"/>
            <w:shd w:val="clear" w:color="auto" w:fill="F2F5FA"/>
          </w:tcPr>
          <w:p>
            <w:pPr>
              <w:spacing w:after="20" w:before="20"/>
            </w:pPr>
            <w:r/>
            <w:r>
              <w:rPr>
                <w:sz w:val="18"/>
              </w:rPr>
              <w:t>0.39M</w:t>
            </w:r>
          </w:p>
        </w:tc>
        <w:tc>
          <w:tcPr>
            <w:tcW w:type="dxa" w:w="2041"/>
            <w:shd w:val="clear" w:color="auto" w:fill="F2F5FA"/>
          </w:tcPr>
          <w:p>
            <w:pPr>
              <w:spacing w:after="20" w:before="20"/>
            </w:pPr>
            <w:r/>
            <w:r>
              <w:rPr>
                <w:sz w:val="18"/>
              </w:rPr>
              <w:t>0.24M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-0.39M</w:t>
            </w:r>
          </w:p>
        </w:tc>
        <w:tc>
          <w:tcPr>
            <w:tcW w:type="dxa" w:w="2721"/>
          </w:tcPr>
          <w:p>
            <w:pPr>
              <w:spacing w:after="20" w:before="20"/>
            </w:pPr>
            <w:r/>
            <w:r>
              <w:rPr>
                <w:b/>
                <w:sz w:val="18"/>
              </w:rPr>
              <w:t>1.34M</w:t>
            </w:r>
          </w:p>
        </w:tc>
        <w:tc>
          <w:tcPr>
            <w:tcW w:type="dxa" w:w="2041"/>
          </w:tcPr>
          <w:p>
            <w:pPr>
              <w:spacing w:after="20" w:before="20"/>
            </w:pPr>
            <w:r/>
            <w:r>
              <w:rPr>
                <w:b/>
                <w:sz w:val="18"/>
              </w:rPr>
              <w:t>3.55M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~30 yr</w:t>
            </w:r>
          </w:p>
        </w:tc>
        <w:tc>
          <w:tcPr>
            <w:tcW w:type="dxa" w:w="2721"/>
          </w:tcPr>
          <w:p>
            <w:pPr>
              <w:spacing w:after="20" w:before="20"/>
            </w:pPr>
            <w:r/>
            <w:r>
              <w:rPr>
                <w:sz w:val="18"/>
              </w:rPr>
              <w:t>~3.1 yr (2.2 to 4.0 on 3.86M to 6.85M)</w:t>
            </w:r>
          </w:p>
        </w:tc>
        <w:tc>
          <w:tcPr>
            <w:tcW w:type="dxa" w:w="2041"/>
          </w:tcPr>
          <w:p>
            <w:pPr>
              <w:spacing w:after="20" w:before="20"/>
            </w:pPr>
            <w:r/>
            <w:r>
              <w:rPr>
                <w:sz w:val="18"/>
              </w:rPr>
              <w:t>~1.0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~177M THB.</w:t>
            </w:r>
            <w:r>
              <w:rPr>
                <w:sz w:val="20"/>
              </w:rPr>
              <w:t xml:space="preserve"> EBITDA ~1.7M USD (~57M THB) and operating profit ~1.3M USD (~44M THB) a year once the plant runs at volume. It breaks even on operating profit at about </w:t>
            </w:r>
            <w:r>
              <w:rPr>
                <w:b/>
                <w:sz w:val="20"/>
              </w:rPr>
              <w:t>0.2 million records a year, about a quarter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~0.9 million records to cover depreciation, and the three presses make 0.58 million at that rate. It stacks the low price, the high cost, the high capital and the high overheads at once. At the central cost and volume the price that covers depreciation is ~2.7 USD (~88 THB) a record (arithmetic on the table), below the low price assumed: price realisation and utilisation decide solvency, not upside.</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A preset, with its own cost build-up (it adds electric steam heat, the cutting engineer and the PPA power price, ~0.03M USD a year, which this table leaves out) and the team's faster Duplex planning rate, at which the three presses are not Duplex-limited, gives at 850k records and 60 % specials: revenue ~4.14M, EBITDA 2.04M USD, payback 2.4 years on the 161.7M THB investment in a mature year; with a ramp of 35, 70 and 90 % in the first three years and the reserve in year 0, cash payback in year ~3.9, ~25 % IRR and an NPV of ~4.9M USD over ten years, pre-tax and pre-financing (estimates). Not modelled here: cassette and CD-R lines (later in Plan A), stamper supply to other plants,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299718"/>
            <wp:docPr id="13" name="Picture 13"/>
            <wp:cNvGraphicFramePr>
              <a:graphicFrameLocks noChangeAspect="1"/>
            </wp:cNvGraphicFramePr>
            <a:graphic>
              <a:graphicData uri="http://schemas.openxmlformats.org/drawingml/2006/picture">
                <pic:pic>
                  <pic:nvPicPr>
                    <pic:cNvPr id="0" name="plan-a-cash.png"/>
                    <pic:cNvPicPr/>
                  </pic:nvPicPr>
                  <pic:blipFill>
                    <a:blip r:embed="rId23"/>
                    <a:stretch>
                      <a:fillRect/>
                    </a:stretch>
                  </pic:blipFill>
                  <pic:spPr>
                    <a:xfrm>
                      <a:off x="0" y="0"/>
                      <a:ext cx="5760000" cy="4299718"/>
                    </a:xfrm>
                    <a:prstGeom prst="rect"/>
                  </pic:spPr>
                </pic:pic>
              </a:graphicData>
            </a:graphic>
          </wp:inline>
        </w:drawing>
      </w:r>
    </w:p>
    <w:p>
      <w:pPr>
        <w:spacing w:before="40" w:after="160"/>
      </w:pPr>
      <w:r>
        <w:rPr>
          <w:i/>
          <w:color w:val="595959"/>
          <w:sz w:val="17"/>
        </w:rPr>
        <w:t>Figure 12. Ten years of cash in the plant and business plan calculator, Plan A preset: cash payback in year ~3.9, IRR ~25 %, NPV ~4.9M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A does not start there. It is commissioned in sequence: first the cutting room and galvanics (the presses need their stampers), then the Duplex system, then the Classic.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w:t>
      </w:r>
      <w:r>
        <w:rPr/>
        <w:t xml:space="preserve"> A second Duplex system (two more semi-automatic presses) lifts the plant to ~1.0 to 1.5 million records a year at 60 % specials, roughly </w:t>
      </w:r>
      <w:r>
        <w:rPr>
          <w:b/>
        </w:rPr>
        <w:t>+0.4 to 0.6 million records</w:t>
      </w:r>
      <w:r>
        <w:rPr/>
        <w:t xml:space="preserve">, for </w:t>
      </w:r>
      <w:r>
        <w:rPr>
          <w:b/>
        </w:rPr>
        <w:t>~USD 230k to 300k</w:t>
      </w:r>
      <w:r>
        <w:rPr/>
        <w:t xml:space="preserve"> for the press system (estimate: two presses at the quoted ~115k per press and extruder set, plus hydraulic unit and EX 35, no EX 35 price on file). With its chiller module (CH-3, USD 48k to 78k), freight and installation (24k to 48k) and the working capital for the extra records it comes to ~15.4M THB at the midpoint, as Plan B prices it. The hall, the module positions in the boiler hall and chiller compound, and the ring-main tees are reserved for it, so it is a revenue-funded step, not a rebuild.</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w:t>
            </w:r>
          </w:p>
        </w:tc>
      </w:tr>
      <w:tr>
        <w:trPr>
          <w:cantSplit/>
        </w:trPr>
        <w:tc>
          <w:tcPr>
            <w:tcW w:type="dxa" w:w="2381"/>
            <w:shd w:val="clear" w:color="auto" w:fill="F2F5FA"/>
          </w:tcPr>
          <w:p>
            <w:pPr>
              <w:spacing w:after="20" w:before="20"/>
            </w:pPr>
            <w:r/>
            <w:r>
              <w:rPr>
                <w:sz w:val="18"/>
              </w:rPr>
              <w:t>Solar through the PPA (the installer builds and owns the array)</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the PPA offer is phase 0 work;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Later (growth step)</w:t>
            </w:r>
          </w:p>
        </w:tc>
        <w:tc>
          <w:tcPr>
            <w:tcW w:type="dxa" w:w="1587"/>
          </w:tcPr>
          <w:p>
            <w:pPr>
              <w:spacing w:after="20" w:before="20"/>
            </w:pPr>
            <w:r/>
            <w:r>
              <w:rPr>
                <w:sz w:val="18"/>
              </w:rPr>
              <w:t>Not on the launch calendar</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and Plan A adds the Chinese boiler modules.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A's plant, the launch plant with its six levers, and only growth and the items the levers move later stay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first two boiler and chiller modules (boilers through the Chinese route)</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HVAC, clean zones, security, the crane-ready frame (a mobile crane for the installations); the solar array built by the PPA installer;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further Classics; the laser confocal and wide-area profiler; the visitor corridor and public tours; cassette and CD-R duplication; an owned crane if needed; the biomass boiler if steam starts electric;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(boiler modules B-1, B-2;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~127M to 226M THB in one round (~177M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Six levers, no machine dropped.</w:t>
            </w:r>
            <w:r>
              <w:rPr>
                <w:sz w:val="17"/>
              </w:rPr>
              <w:t xml:space="preserve"> The levers bring the whole chain to ~180M THB, and the second Duplex waits for demand and revenue on a reserved floor.</w:t>
            </w:r>
          </w:p>
        </w:tc>
        <w:tc>
          <w:tcPr>
            <w:tcW w:type="dxa" w:w="4819"/>
          </w:tcPr>
          <w:p>
            <w:pPr>
              <w:spacing w:after="20" w:before="20"/>
            </w:pPr>
            <w:r/>
            <w:r>
              <w:rPr>
                <w:b/>
                <w:sz w:val="17"/>
              </w:rPr>
              <w:t>What the levers give up.</w:t>
            </w:r>
            <w:r>
              <w:rPr>
                <w:sz w:val="17"/>
              </w:rPr>
              <w:t xml:space="preserve"> Owned solar and very likely the BOI solar measure, public tours at first, cassette and CD-R at launch, a bought crane; the boilers are imported from China under the Thai boiler rules.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and the cassette and CD-R lines add 1 to 2 when they come.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~44M THB of Plan A's ~177M (arithmetic, before financing costs).</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A's levers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~24M THB at the midpoint, and the high end of every block comes to ~226M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~0.9M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Solar PPA and the BOI solar measure</w:t>
            </w:r>
          </w:p>
        </w:tc>
        <w:tc>
          <w:tcPr>
            <w:tcW w:type="dxa" w:w="2948"/>
          </w:tcPr>
          <w:p>
            <w:pPr>
              <w:spacing w:after="20" w:before="20"/>
            </w:pPr>
            <w:r/>
            <w:r>
              <w:rPr>
                <w:sz w:val="16"/>
              </w:rPr>
              <w:t>The PPA very likely gives up the BOI solar measure (owned solar and its tax benefit) and adds a power price, ~0.03M USD a year in the calculator at 3.0 THB/kWh, an estimate to quote</w:t>
            </w:r>
          </w:p>
        </w:tc>
        <w:tc>
          <w:tcPr>
            <w:tcW w:type="dxa" w:w="3515"/>
          </w:tcPr>
          <w:p>
            <w:pPr>
              <w:spacing w:after="20" w:before="20"/>
            </w:pPr>
            <w:r/>
            <w:r>
              <w:rPr>
                <w:sz w:val="16"/>
              </w:rPr>
              <w:t>The BOI consultant's reading and PPA offers next to the purchase quote in phase 0; buying the array, as Plan B does, stays the alternative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Utilities fuel choice open</w:t>
            </w:r>
          </w:p>
        </w:tc>
        <w:tc>
          <w:tcPr>
            <w:tcW w:type="dxa" w:w="2948"/>
          </w:tcPr>
          <w:p>
            <w:pPr>
              <w:spacing w:after="20" w:before="20"/>
            </w:pPr>
            <w:r/>
            <w:r>
              <w:rPr>
                <w:sz w:val="16"/>
              </w:rPr>
              <w:t>Biomass heat costs a quarter to a tenth of electric steam at reported fuel prices; electric steam needs a larger grid connection, biomass a secured fuel supply</w:t>
            </w:r>
          </w:p>
        </w:tc>
        <w:tc>
          <w:tcPr>
            <w:tcW w:type="dxa" w:w="3515"/>
          </w:tcPr>
          <w:p>
            <w:pPr>
              <w:spacing w:after="20" w:before="20"/>
            </w:pPr>
            <w:r/>
            <w:r>
              <w:rPr>
                <w:sz w:val="16"/>
              </w:rPr>
              <w:t>Decide before the boiler request and the grid application; quote electric and fired variants of the same modules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import compliance (DIW)</w:t>
            </w:r>
          </w:p>
        </w:tc>
        <w:tc>
          <w:tcPr>
            <w:tcW w:type="dxa" w:w="2948"/>
            <w:shd w:val="clear" w:color="auto" w:fill="F2F5FA"/>
          </w:tcPr>
          <w:p>
            <w:pPr>
              <w:spacing w:after="20" w:before="20"/>
            </w:pPr>
            <w:r/>
            <w:r>
              <w:rPr>
                <w:sz w:val="16"/>
              </w:rPr>
              <w:t>This plan imports its boiler modules from China: an imported boiler must meet ASME, JIS, EN or equivalent and be verified by a DIW-registered certification body; the modules run above the once-through relief</w:t>
            </w:r>
          </w:p>
        </w:tc>
        <w:tc>
          <w:tcPr>
            <w:tcW w:type="dxa" w:w="3515"/>
            <w:shd w:val="clear" w:color="auto" w:fill="F2F5FA"/>
          </w:tcPr>
          <w:p>
            <w:pPr>
              <w:spacing w:after="20" w:before="20"/>
            </w:pPr>
            <w:r/>
            <w:r>
              <w:rPr>
                <w:sz w:val="16"/>
              </w:rPr>
              <w:t>ASME Section I design with the S stamp and the full dossier; certification body engaged before the order; the same for a Thai-bought boiler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once added; growth options wait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integration under the PPA</w:t>
            </w:r>
          </w:p>
        </w:tc>
        <w:tc>
          <w:tcPr>
            <w:tcW w:type="dxa" w:w="2948"/>
          </w:tcPr>
          <w:p>
            <w:pPr>
              <w:spacing w:after="20" w:before="20"/>
            </w:pPr>
            <w:r/>
            <w:r>
              <w:rPr>
                <w:sz w:val="16"/>
              </w:rPr>
              <w:t>Rack voltage vs inverter window, certifications and warranty move to the installer, but the plant still depends on the array</w:t>
            </w:r>
          </w:p>
        </w:tc>
        <w:tc>
          <w:tcPr>
            <w:tcW w:type="dxa" w:w="3515"/>
          </w:tcPr>
          <w:p>
            <w:pPr>
              <w:spacing w:after="20" w:before="20"/>
            </w:pPr>
            <w:r/>
            <w:r>
              <w:rPr>
                <w:sz w:val="16"/>
              </w:rPr>
              <w:t>Engineering checks of the installer's design in phase 0;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 once the lines are added</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how the solar PPA affects the solar measure;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steam boiler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Chinese boiler makers for the plan's boiler modules (ZOZEN, Sitong, Fangkuai, Taiguo; 1.25 MPa, ASME S stamp, electric and fired variants) with a Thai installer; compressors from Kaishan and Denair's Thai offices; Thai suppliers for the rest;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choice</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inline vision, audio station; confocal and profiler for later)</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PPA offers (the plan's lever) next to a purchase quote; the installer's battery and inverter design checked</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lever, PPA price</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for the growth step;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Biomass path</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A at ~180M THB</w:t>
            </w:r>
            <w:r>
              <w:rPr>
                <w:sz w:val="19"/>
              </w:rPr>
              <w:t xml:space="preserve"> (~177M at the midpoint, the ramp-up reserve of 10M to 20M included, no contingency), released in the tranches of section 8.3, with the financing mix set to hold debt-to-equity at or below 3:1 (equity of at least ~44M THB). Told plainly: the price carries no contingency (at 15 % it would be ~24M THB more at the midpoint), and from the low to the high end of every block the plan comes to ~127M to 226M THB. The Newbilt re-quote, the Pheenix quote, the building quote with the soil test, the metrology quotes and the solar PPA offer decide where in that range it lands.</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the six levers, the solar PPA first (it very likely gives up the BOI solar measure); CD replication, yes or no, before the BOI application is finalised; the steam fuel (electric or biomass);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as Plan B prices it), the laser confocal and wide-area profiler (USD 180k to 350k), the visitor corridor, cassette and CD-R, an owned crane if needed, further Classics, the biomass boiler if steam starts electric,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solar PPA offer and the BOI consultant's reading of the solar measure; the negotiated lease; a buyer-side price data point; the investor's CD and fuel decisions;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~225M THB, the six levers, Plan B's additions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artist-platform.md (demos artist-order.html, make-a-record.html)</w:t>
            </w:r>
          </w:p>
        </w:tc>
        <w:tc>
          <w:tcPr>
            <w:tcW w:type="dxa" w:w="6123"/>
          </w:tcPr>
          <w:p>
            <w:pPr>
              <w:spacing w:after="20" w:before="20"/>
            </w:pPr>
            <w:r/>
            <w:r>
              <w:rPr>
                <w:sz w:val="17"/>
              </w:rPr>
              <w:t>Upload and itemised price calculator, fan-funded campaigns, the record passport (Figures 5 to 7)</w:t>
            </w:r>
          </w:p>
        </w:tc>
      </w:tr>
      <w:tr>
        <w:trPr>
          <w:cantSplit/>
        </w:trPr>
        <w:tc>
          <w:tcPr>
            <w:tcW w:type="dxa" w:w="3515"/>
            <w:shd w:val="clear" w:color="auto" w:fill="F2F5FA"/>
          </w:tcPr>
          <w:p>
            <w:pPr>
              <w:spacing w:after="20" w:before="20"/>
            </w:pPr>
            <w:r/>
            <w:r>
              <w:rPr>
                <w:sz w:val="17"/>
              </w:rPr>
              <w:t>process-flow.md, production-timeline.md</w:t>
            </w:r>
          </w:p>
        </w:tc>
        <w:tc>
          <w:tcPr>
            <w:tcW w:type="dxa" w:w="6123"/>
            <w:shd w:val="clear" w:color="auto" w:fill="F2F5FA"/>
          </w:tcPr>
          <w:p>
            <w:pPr>
              <w:spacing w:after="20" w:before="20"/>
            </w:pPr>
            <w:r/>
            <w:r>
              <w:rPr>
                <w:sz w:val="17"/>
              </w:rPr>
              <w:t>The chain and its checks; order turnaround stage by stage, lead times and the repress path</w:t>
            </w:r>
          </w:p>
        </w:tc>
      </w:tr>
      <w:tr>
        <w:trPr>
          <w:cantSplit/>
        </w:trPr>
        <w:tc>
          <w:tcPr>
            <w:tcW w:type="dxa" w:w="3515"/>
          </w:tcPr>
          <w:p>
            <w:pPr>
              <w:spacing w:after="20" w:before="20"/>
            </w:pPr>
            <w:r/>
            <w:r>
              <w:rPr>
                <w:sz w:val="17"/>
              </w:rPr>
              <w:t>traceability.md, quality-automation.md</w:t>
            </w:r>
          </w:p>
        </w:tc>
        <w:tc>
          <w:tcPr>
            <w:tcW w:type="dxa" w:w="6123"/>
          </w:tcPr>
          <w:p>
            <w:pPr>
              <w:spacing w:after="20" w:before="20"/>
            </w:pPr>
            <w:r/>
            <w:r>
              <w:rPr>
                <w:sz w:val="17"/>
              </w:rPr>
              <w:t>The traceability specification; metrology, layered record QC, the materials lab</w:t>
            </w:r>
          </w:p>
        </w:tc>
      </w:tr>
      <w:tr>
        <w:trPr>
          <w:cantSplit/>
        </w:trPr>
        <w:tc>
          <w:tcPr>
            <w:tcW w:type="dxa" w:w="3515"/>
            <w:shd w:val="clear" w:color="auto" w:fill="F2F5FA"/>
          </w:tcPr>
          <w:p>
            <w:pPr>
              <w:spacing w:after="20" w:before="20"/>
            </w:pPr>
            <w:r/>
            <w:r>
              <w:rPr>
                <w:sz w:val="17"/>
              </w:rPr>
              <w:t>sustainability.md, biomass.md, steam-cooling.html</w:t>
            </w:r>
          </w:p>
        </w:tc>
        <w:tc>
          <w:tcPr>
            <w:tcW w:type="dxa" w:w="6123"/>
            <w:shd w:val="clear" w:color="auto" w:fill="F2F5FA"/>
          </w:tcPr>
          <w:p>
            <w:pPr>
              <w:spacing w:after="20" w:before="20"/>
            </w:pPr>
            <w:r/>
            <w:r>
              <w:rPr>
                <w:sz w:val="17"/>
              </w:rPr>
              <w:t>Solar, heat recovery, water, zero discharge, the grid tariff; the biomass fuel strategy; the steam and cooling plant</w:t>
            </w:r>
          </w:p>
        </w:tc>
      </w:tr>
      <w:tr>
        <w:trPr>
          <w:cantSplit/>
        </w:trPr>
        <w:tc>
          <w:tcPr>
            <w:tcW w:type="dxa" w:w="3515"/>
          </w:tcPr>
          <w:p>
            <w:pPr>
              <w:spacing w:after="20" w:before="20"/>
            </w:pPr>
            <w:r/>
            <w:r>
              <w:rPr>
                <w:sz w:val="17"/>
              </w:rPr>
              <w:t>facility-security.md, worker-safety.md</w:t>
            </w:r>
          </w:p>
        </w:tc>
        <w:tc>
          <w:tcPr>
            <w:tcW w:type="dxa" w:w="6123"/>
          </w:tcPr>
          <w:p>
            <w:pPr>
              <w:spacing w:after="20" w:before="20"/>
            </w:pPr>
            <w:r/>
            <w:r>
              <w:rPr>
                <w:sz w:val="17"/>
              </w:rPr>
              <w:t>Climate control, security, fire and life safety, the archive room; training, clean rooms, PPE</w:t>
            </w:r>
          </w:p>
        </w:tc>
      </w:tr>
      <w:tr>
        <w:trPr>
          <w:cantSplit/>
        </w:trPr>
        <w:tc>
          <w:tcPr>
            <w:tcW w:type="dxa" w:w="3515"/>
            <w:shd w:val="clear" w:color="auto" w:fill="F2F5FA"/>
          </w:tcPr>
          <w:p>
            <w:pPr>
              <w:spacing w:after="20" w:before="20"/>
            </w:pPr>
            <w:r/>
            <w:r>
              <w:rPr>
                <w:sz w:val="17"/>
              </w:rPr>
              <w:t>crane-workshop-tours.md</w:t>
            </w:r>
          </w:p>
        </w:tc>
        <w:tc>
          <w:tcPr>
            <w:tcW w:type="dxa" w:w="6123"/>
            <w:shd w:val="clear" w:color="auto" w:fill="F2F5FA"/>
          </w:tcPr>
          <w:p>
            <w:pPr>
              <w:spacing w:after="20" w:before="20"/>
            </w:pPr>
            <w:r/>
            <w:r>
              <w:rPr>
                <w:sz w:val="17"/>
              </w:rPr>
              <w:t>Overhead crane, maintenance workshop, visitor corridor</w:t>
            </w:r>
          </w:p>
        </w:tc>
      </w:tr>
      <w:tr>
        <w:trPr>
          <w:cantSplit/>
        </w:trPr>
        <w:tc>
          <w:tcPr>
            <w:tcW w:type="dxa" w:w="3515"/>
          </w:tcPr>
          <w:p>
            <w:pPr>
              <w:spacing w:after="20" w:before="20"/>
            </w:pPr>
            <w:r/>
            <w:r>
              <w:rPr>
                <w:sz w:val="17"/>
              </w:rPr>
              <w:t>site-candidates.md and land-listings/</w:t>
            </w:r>
          </w:p>
        </w:tc>
        <w:tc>
          <w:tcPr>
            <w:tcW w:type="dxa" w:w="6123"/>
          </w:tcPr>
          <w:p>
            <w:pPr>
              <w:spacing w:after="20" w:before="20"/>
            </w:pPr>
            <w:r/>
            <w:r>
              <w:rPr>
                <w:sz w:val="17"/>
              </w:rPr>
              <w:t>Mueang Chi, the industrial estate and Payap land; the checks before choosing; zoning records</w:t>
            </w:r>
          </w:p>
        </w:tc>
      </w:tr>
      <w:tr>
        <w:trPr>
          <w:cantSplit/>
        </w:trPr>
        <w:tc>
          <w:tcPr>
            <w:tcW w:type="dxa" w:w="3515"/>
            <w:shd w:val="clear" w:color="auto" w:fill="F2F5FA"/>
          </w:tcPr>
          <w:p>
            <w:pPr>
              <w:spacing w:after="20" w:before="20"/>
            </w:pPr>
            <w:r/>
            <w:r>
              <w:rPr>
                <w:sz w:val="17"/>
              </w:rPr>
              <w:t>payap-partnership.md</w:t>
            </w:r>
          </w:p>
        </w:tc>
        <w:tc>
          <w:tcPr>
            <w:tcW w:type="dxa" w:w="6123"/>
            <w:shd w:val="clear" w:color="auto" w:fill="F2F5FA"/>
          </w:tcPr>
          <w:p>
            <w:pPr>
              <w:spacing w:after="20" w:before="20"/>
            </w:pPr>
            <w:r/>
            <w:r>
              <w:rPr>
                <w:sz w:val="17"/>
              </w:rPr>
              <w:t>Joint student programmes with Payap University</w:t>
            </w:r>
          </w:p>
        </w:tc>
      </w:tr>
      <w:tr>
        <w:trPr>
          <w:cantSplit/>
        </w:trPr>
        <w:tc>
          <w:tcPr>
            <w:tcW w:type="dxa" w:w="3515"/>
          </w:tcPr>
          <w:p>
            <w:pPr>
              <w:spacing w:after="20" w:before="20"/>
            </w:pPr>
            <w:r/>
            <w:r>
              <w:rPr>
                <w:sz w:val="17"/>
              </w:rPr>
              <w:t>boi.md</w:t>
            </w:r>
          </w:p>
        </w:tc>
        <w:tc>
          <w:tcPr>
            <w:tcW w:type="dxa" w:w="6123"/>
          </w:tcPr>
          <w:p>
            <w:pPr>
              <w:spacing w:after="20" w:before="20"/>
            </w:pPr>
            <w:r/>
            <w:r>
              <w:rPr>
                <w:sz w:val="17"/>
              </w:rPr>
              <w:t>BOI promotion strategy, requirements, process, open items</w:t>
            </w:r>
          </w:p>
        </w:tc>
      </w:tr>
      <w:tr>
        <w:trPr>
          <w:cantSplit/>
        </w:trPr>
        <w:tc>
          <w:tcPr>
            <w:tcW w:type="dxa" w:w="3515"/>
            <w:shd w:val="clear" w:color="auto" w:fill="F2F5FA"/>
          </w:tcPr>
          <w:p>
            <w:pPr>
              <w:spacing w:after="20" w:before="20"/>
            </w:pPr>
            <w:r/>
            <w:r>
              <w:rPr>
                <w:sz w:val="17"/>
              </w:rPr>
              <w:t>cnx_vinyl_parametric.FCStd, cnx_vinyl_parametric_payap.FCStd and renders/</w:t>
            </w:r>
          </w:p>
        </w:tc>
        <w:tc>
          <w:tcPr>
            <w:tcW w:type="dxa" w:w="6123"/>
            <w:shd w:val="clear" w:color="auto" w:fill="F2F5FA"/>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A (~180M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