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4590000"/>
            <wp:docPr id="1" name="Picture 1"/>
            <wp:cNvGraphicFramePr>
              <a:graphicFrameLocks noChangeAspect="1"/>
            </wp:cNvGraphicFramePr>
            <a:graphic>
              <a:graphicData uri="http://schemas.openxmlformats.org/drawingml/2006/picture">
                <pic:pic>
                  <pic:nvPicPr>
                    <pic:cNvPr id="0" name="aerial-hero.png"/>
                    <pic:cNvPicPr/>
                  </pic:nvPicPr>
                  <pic:blipFill>
                    <a:blip r:embed="rId11"/>
                    <a:stretch>
                      <a:fillRect/>
                    </a:stretch>
                  </pic:blipFill>
                  <pic:spPr>
                    <a:xfrm>
                      <a:off x="0" y="0"/>
                      <a:ext cx="6120000" cy="4590000"/>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0.2, October 2026</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Draft 0.2 replaces draft 0.1 (September 2026): the plant now launches with the whole chain, cutting and galvanics included, in one capital round.</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draft 0.1.</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Every section below is written for that plant.</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option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and two 250 kW chiller modules installed at launch; further presses add modules, not rooms. The steam fuel (electric or biomass) is still open.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rooftop solar and room for a second building.</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The main roof carries </w:t>
      </w:r>
      <w:r>
        <w:rPr>
          <w:b/>
        </w:rPr>
        <w:t>~247 kWp</w:t>
      </w:r>
      <w:r>
        <w:rPr/>
        <w:t xml:space="preserve"> of solar (about 335 to 360 MWh a year, a quarter to a third of mature two-shift use; a second building's roof would take the total to ~498 kWp), with a 271 kWh battery for ride-through.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Launch plant ~0.58M to 0.90M records/yr at 60 % specials (2 semi-automatic presses + 1 Classic, 2 shifts; the Duplex sets the pace; estimate; the press fleet calculator gives ~0.94M at our planning rates). Second Duplex as growth option: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launch plant</w:t>
            </w:r>
          </w:p>
        </w:tc>
        <w:tc>
          <w:tcPr>
            <w:tcW w:type="dxa" w:w="6520"/>
          </w:tcPr>
          <w:p>
            <w:pPr>
              <w:spacing w:after="20" w:before="20"/>
            </w:pPr>
            <w:r/>
            <w:r>
              <w:rPr>
                <w:sz w:val="19"/>
              </w:rPr>
              <w:t>~USD 4.9M to 8.9M (~THB 161M to 292M) including 15% contingency, midpoint ~USD 6.9M (~THB 227M). Not in it: a ramp-up reserve of ~THB 10M to 20M, CD replication, financing costs, the central hydraulic plant (not yet costed)</w:t>
            </w:r>
          </w:p>
        </w:tc>
      </w:tr>
      <w:tr>
        <w:trPr>
          <w:cantSplit/>
        </w:trPr>
        <w:tc>
          <w:tcPr>
            <w:tcW w:type="dxa" w:w="2835"/>
            <w:shd w:val="clear" w:color="auto" w:fill="F2F5FA"/>
          </w:tcPr>
          <w:p>
            <w:pPr>
              <w:spacing w:after="20" w:before="20"/>
            </w:pPr>
            <w:r>
              <w:rPr>
                <w:b/>
              </w:rPr>
            </w:r>
            <w:r>
              <w:rPr>
                <w:b/>
                <w:sz w:val="19"/>
              </w:rPr>
              <w:t>The investor's 180M THB question</w:t>
            </w:r>
          </w:p>
        </w:tc>
        <w:tc>
          <w:tcPr>
            <w:tcW w:type="dxa" w:w="6520"/>
          </w:tcPr>
          <w:p>
            <w:pPr>
              <w:spacing w:after="20" w:before="20"/>
            </w:pPr>
            <w:r/>
            <w:r>
              <w:rPr>
                <w:b/>
                <w:sz w:val="19"/>
              </w:rPr>
              <w:t>216M THB is a realistic target</w:t>
            </w:r>
            <w:r>
              <w:rPr>
                <w:sz w:val="19"/>
              </w:rPr>
              <w:t xml:space="preserve"> for the full equipment list with four levers that keep every machine (~203M to 213M with the ramp-up reserve); </w:t>
            </w:r>
            <w:r>
              <w:rPr>
                <w:b/>
                <w:sz w:val="19"/>
              </w:rPr>
              <w:t>180M holds only if the open quotes land low</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1.21M (~THB 40M), payback ~3.8 years (2.8 to 5.1 on the 4.9M to 8.9M band); break-even on operating profit at ~0.25M records a year. </w:t>
            </w:r>
            <w:r>
              <w:rPr>
                <w:b/>
                <w:sz w:val="19"/>
              </w:rPr>
              <w:t>The adverse case loses money:</w:t>
            </w:r>
            <w:r>
              <w:rPr>
                <w:sz w:val="19"/>
              </w:rPr>
              <w:t xml:space="preserve"> EBITDA ~USD 0.23M, operating loss ~USD 0.66M (~THB 22M). Utilisation and price decide the outcome, not upside (section 9)</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bl>
    <w:p>
      <w:pPr>
        <w:spacing w:after="40"/>
      </w:pP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and the Classic, a Pheenix quote for the galvanics line, the building price request with the soil test, and metrology distributor quotes.</w:t>
            </w:r>
          </w:p>
          <w:p>
            <w:pPr>
              <w:spacing w:after="60"/>
              <w:ind w:left="227"/>
            </w:pPr>
            <w:r>
              <w:rPr>
                <w:sz w:val="20"/>
              </w:rPr>
              <w:t xml:space="preserve">•  </w:t>
            </w:r>
            <w:r>
              <w:rPr>
                <w:b/>
                <w:sz w:val="20"/>
              </w:rPr>
              <w:t>Then the launch plant round, targeted at ~THB 216M (~USD 6.55M)</w:t>
            </w:r>
            <w:r>
              <w:rPr>
                <w:sz w:val="20"/>
              </w:rPr>
              <w:t>, released in tranches against milestones: BOI certificate and lease signed, long-lead orders (lathe, galvanics, stamper prep, presses, first boiler and chiller modules), building contract, fit-out, commissioning in sequence (section 8.3). The full estimate band is THB 161M to 292M; section 8.2 shows the levers that bring the midpoint inside 216M.</w:t>
            </w:r>
          </w:p>
          <w:p>
            <w:pPr>
              <w:spacing w:after="60"/>
              <w:ind w:left="227"/>
            </w:pPr>
            <w:r>
              <w:rPr>
                <w:sz w:val="20"/>
              </w:rPr>
              <w:t xml:space="preserve">•  </w:t>
            </w:r>
            <w:r>
              <w:rPr>
                <w:b/>
                <w:sz w:val="20"/>
              </w:rPr>
              <w:t>Decisions needed from the investor:</w:t>
            </w:r>
            <w:r>
              <w:rPr>
                <w:sz w:val="20"/>
              </w:rPr>
              <w:t xml:space="preserve"> the equity/debt mix (BOI requires debt-to-equity of at most 3:1); CD replication, yes or no (it must be in the BOI application from the start); the steam fuel, electric or biomass; and which budget levers to take (solar through a PPA, metrology bought in two steps, the visitor corridor later).</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and the Newbilt Classic (no price on file); the cutting room beyond the lathe; metrology stack; land lease;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3.50 to 4.60 blended (115 to 150 THB).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the launch plant.</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Launch plant (confocal and profiler can follow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~247 kWp roof PV, 271 kWh battery, closed cooling loop, zero process discharge</w:t>
            </w:r>
          </w:p>
        </w:tc>
        <w:tc>
          <w:tcPr>
            <w:tcW w:type="dxa" w:w="1701"/>
          </w:tcPr>
          <w:p>
            <w:pPr>
              <w:spacing w:after="20" w:before="20"/>
            </w:pPr>
            <w:r/>
            <w:r>
              <w:rPr>
                <w:sz w:val="17"/>
              </w:rPr>
              <w:t>Launch plant (PV possibly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Launch plant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Estimated USD 320k to 650k (THB 10.6M to 21.4M) for the Pheenix line, with no Pheenix price on file; OMS's reference prices sit at the low end, and pricing near them is one of the four budget levers.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boiler modules and two 250 kW chiller modules</w:t>
      </w:r>
      <w:r>
        <w:rPr/>
        <w:t>, in a boiler hall and an open chiller compound built for four modules each; a second Duplex adds a third chiller module, and the fourth positions are reserve and growth.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the launch plant, starting at tier A or a small tier B; cassette and CD-R together are one estimated block of USD 55k to 190k in the investment; schedule-neutral; fits inside the building programme; the activity goes into the BOI application. Moving both later is one of the scope cuts that would be needed to approach 180M THB.</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Option A: CD-R duplication</w:t>
            </w:r>
          </w:p>
        </w:tc>
        <w:tc>
          <w:tcPr>
            <w:tcW w:type="dxa" w:w="4422"/>
            <w:shd w:val="clear" w:color="auto" w:fill="1F3864"/>
          </w:tcPr>
          <w:p>
            <w:pPr>
              <w:spacing w:after="20" w:before="20"/>
            </w:pPr>
            <w:r>
              <w:rPr>
                <w:b/>
              </w:rPr>
            </w:r>
            <w:r>
              <w:rPr>
                <w:b/>
                <w:color w:val="FFFFFF"/>
                <w:sz w:val="17"/>
              </w:rPr>
              <w:t>Option B: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Option B figures are order-of-magnitude and would need a dedicated feasibility study.</w:t>
      </w:r>
    </w:p>
    <w:p>
      <w:r>
        <w:rPr>
          <w:b/>
        </w:rPr>
        <w:t>Recommendation.</w:t>
      </w:r>
      <w:r>
        <w:rPr/>
        <w:t xml:space="preserve"> Option A is in the launch plant: it is cheap, schedule-neutral, and serves the plant's customers. Treat Option B as a separate project with its own market study, because CD replication is a mature, competitive, declining business outside Asia's strongholds and would add USD 1.5M to 4.0M and a second building to a plan whose vinyl economics do not depend on it. If the investor wants Option B, the decision must be taken before the BOI application is filed (section 7), and the second building should be designed for it. This plan's totals include Option A only; Option B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launch plant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Launch tier</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Launch tier</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Full stack; from revenue if the lever is used</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Full stack; from revenue if the lever is used</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the investor's choice</w:t>
            </w:r>
          </w:p>
          <w:p>
            <w:pPr>
              <w:spacing w:after="60"/>
              <w:ind w:left="227"/>
            </w:pPr>
            <w:r>
              <w:rPr>
                <w:sz w:val="20"/>
              </w:rPr>
              <w:t xml:space="preserve">•  </w:t>
            </w:r>
            <w:r>
              <w:rPr>
                <w:b/>
                <w:sz w:val="20"/>
              </w:rPr>
              <w:t>Full stack at launch.</w:t>
            </w:r>
            <w:r>
              <w:rPr>
                <w:sz w:val="20"/>
              </w:rPr>
              <w:t xml:space="preserve"> The metrology and QC block is USD 350k to 810k (11.6M to 26.7M THB, estimate, section 8): XRF, laser confocal, wide-area profiler, inline vision on the three presses and the audio station. Every father, mother and stamper is measured before the next plating generation or the press.</w:t>
            </w:r>
          </w:p>
          <w:p>
            <w:pPr>
              <w:spacing w:after="60"/>
              <w:ind w:left="227"/>
            </w:pPr>
            <w:r>
              <w:rPr>
                <w:sz w:val="20"/>
              </w:rPr>
              <w:t xml:space="preserve">•  </w:t>
            </w:r>
            <w:r>
              <w:rPr>
                <w:b/>
                <w:sz w:val="20"/>
              </w:rPr>
              <w:t>Launch tier.</w:t>
            </w:r>
            <w:r>
              <w:rPr>
                <w:sz w:val="20"/>
              </w:rPr>
              <w:t xml:space="preserve"> XRF, inline vision and the audio station at launch; the laser confocal and the wide-area profiler bought from revenue. That saves ~10.1M THB at the midpoint with its share of the contingency, one of the four levers that bring the plant inside 216M THB. Until they arrive, groove geometry on the metal is judged indirectly, through the test pressing and the audio station, as most plants do today; thickness and cosmetics are still measured on every part.</w:t>
            </w:r>
          </w:p>
          <w:p>
            <w:pPr>
              <w:spacing w:after="60"/>
              <w:ind w:left="227"/>
            </w:pPr>
            <w:r>
              <w:rPr>
                <w:sz w:val="20"/>
              </w:rPr>
              <w:t>•  Either way the data path is the same,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about 390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and two 250 kW air-cooled chillers rated at 40 °C ambient (CH-1, CH-2), sequenced lead and lag by one controller.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The roof gets PV, not solar thermal.</w:t>
      </w:r>
      <w:r>
        <w:rPr/>
        <w:t xml:space="preserve"> Self-consumed PV is worth ~3.7 THB/kWh; it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Rooftop PV</w:t>
            </w:r>
          </w:p>
        </w:tc>
        <w:tc>
          <w:tcPr>
            <w:tcW w:type="dxa" w:w="6520"/>
          </w:tcPr>
          <w:p>
            <w:pPr>
              <w:spacing w:after="20" w:before="20"/>
            </w:pPr>
            <w:r/>
            <w:r>
              <w:rPr>
                <w:sz w:val="19"/>
              </w:rPr>
              <w:t>~247 kWp on the 1,523 m² monopitch roof (425 modules of a generic 580 W placeholder; no module chosen yet), ~335 to 360 MWh a year, ~25 to 35% of mature two-shift use (1,000 to 1,500 MWh). Saves ~1.2M to 1.3M THB a year and pays back in ~4.5 to 7 years at 25,000 to 35,000 THB/kWp (estimates)</w:t>
            </w:r>
          </w:p>
        </w:tc>
      </w:tr>
      <w:tr>
        <w:trPr>
          <w:cantSplit/>
        </w:trPr>
        <w:tc>
          <w:tcPr>
            <w:tcW w:type="dxa" w:w="2835"/>
            <w:shd w:val="clear" w:color="auto" w:fill="F2F5FA"/>
          </w:tcPr>
          <w:p>
            <w:pPr>
              <w:spacing w:after="20" w:before="20"/>
            </w:pPr>
            <w:r>
              <w:rPr>
                <w:b/>
              </w:rPr>
            </w:r>
            <w:r>
              <w:rPr>
                <w:b/>
                <w:sz w:val="19"/>
              </w:rPr>
              <w:t>Canopies and the second building</w:t>
            </w:r>
          </w:p>
        </w:tc>
        <w:tc>
          <w:tcPr>
            <w:tcW w:type="dxa" w:w="6520"/>
          </w:tcPr>
          <w:p>
            <w:pPr>
              <w:spacing w:after="20" w:before="20"/>
            </w:pPr>
            <w:r/>
            <w:r>
              <w:rPr>
                <w:sz w:val="19"/>
              </w:rPr>
              <w:t>~40 kWp on the parking canopies (construction RFQ; ~54 kWp if fully covered). A phase 2 building's roof adds ~251 kWp, ~498 kWp across both roofs</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Solar PPA (option)</w:t>
            </w:r>
          </w:p>
        </w:tc>
        <w:tc>
          <w:tcPr>
            <w:tcW w:type="dxa" w:w="6520"/>
          </w:tcPr>
          <w:p>
            <w:pPr>
              <w:spacing w:after="20" w:before="20"/>
            </w:pPr>
            <w:r/>
            <w:r>
              <w:rPr>
                <w:sz w:val="19"/>
              </w:rPr>
              <w:t>Instead of buying the PV and battery, an EPC owns and finances them and the plant buys the power: ~12.3M THB less capital at the midpoint with its contingency share, one of the four levers in section 8. The PPA price is not quoted yet, and the BOI solar measure (section 7) rewards the plant's own solar investment, so its tax value probably goes with the array (to confirm with the BOI consultant)</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top of the launch plant's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4.5M to 7M THB (Thai suppliers); the investment's baseline</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Chinese makers with Thai references (ZOZEN, Sitong, Fangkuai, Taiguo) could supply the two modules for roughly 2.8M to 5.5M THB installed against 4.5M to 7M from Thai suppliers, about 1.6M THB less at the midpoint (estimates from listings, not quotes).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the roof carries PV worth a quarter to a third of mature electricity use, with a battery for ride-through; no process water is discharged; a fifth of the plastic is reclaimed; and biomass steam, if chosen, costs a quarter to a tenth of electric steam. The same choices push the energy line toward its low end, hedge Thai tariff rises, and convert into BOI tax value (section 7). They also make the plant's sustainability story true rather than claimed, which matters to the labels it sells to.</w:t>
            </w:r>
          </w:p>
        </w:tc>
      </w:tr>
    </w:tbl>
    <w:p>
      <w:pPr>
        <w:spacing w:after="40"/>
      </w:pP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launch plant,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pPr>
        <w:jc w:val="center"/>
      </w:pPr>
      <w:r>
        <w:drawing>
          <wp:inline xmlns:a="http://schemas.openxmlformats.org/drawingml/2006/main" xmlns:pic="http://schemas.openxmlformats.org/drawingml/2006/picture">
            <wp:extent cx="4320000" cy="4320000"/>
            <wp:docPr id="3" name="Picture 3"/>
            <wp:cNvGraphicFramePr>
              <a:graphicFrameLocks noChangeAspect="1"/>
            </wp:cNvGraphicFramePr>
            <a:graphic>
              <a:graphicData uri="http://schemas.openxmlformats.org/drawingml/2006/picture">
                <pic:pic>
                  <pic:nvPicPr>
                    <pic:cNvPr id="0" name="site-plan.png"/>
                    <pic:cNvPicPr/>
                  </pic:nvPicPr>
                  <pic:blipFill>
                    <a:blip r:embed="rId13"/>
                    <a:stretch>
                      <a:fillRect/>
                    </a:stretch>
                  </pic:blipFill>
                  <pic:spPr>
                    <a:xfrm>
                      <a:off x="0" y="0"/>
                      <a:ext cx="4320000" cy="4320000"/>
                    </a:xfrm>
                    <a:prstGeom prst="rect"/>
                  </pic:spPr>
                </pic:pic>
              </a:graphicData>
            </a:graphic>
          </wp:inline>
        </w:drawing>
      </w:r>
    </w:p>
    <w:p>
      <w:pPr>
        <w:spacing w:before="40" w:after="160"/>
      </w:pPr>
      <w:r>
        <w:rPr>
          <w:i/>
          <w:color w:val="595959"/>
          <w:sz w:val="17"/>
        </w:rPr>
        <w:t>Figure 2. Site plan on the candidate Mueang Chi parcel (massing model, July 2026): main building with rooftop PV, utility yard, fire and raw-water tanks, parking canopies and the phase 2 building. It predates the crane, the visitor corridor and the utility yard built for four modules. Source: parametric model, project repository.</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At the lower half of the table everything fits in 1,500 m²; at the upper half, finished goods move to a second building.</w:t>
      </w:r>
    </w:p>
    <w:p>
      <w:pPr>
        <w:jc w:val="center"/>
      </w:pPr>
      <w:r>
        <w:drawing>
          <wp:inline xmlns:a="http://schemas.openxmlformats.org/drawingml/2006/main" xmlns:pic="http://schemas.openxmlformats.org/drawingml/2006/picture">
            <wp:extent cx="6120000" cy="2690519"/>
            <wp:docPr id="4" name="Picture 4"/>
            <wp:cNvGraphicFramePr>
              <a:graphicFrameLocks noChangeAspect="1"/>
            </wp:cNvGraphicFramePr>
            <a:graphic>
              <a:graphicData uri="http://schemas.openxmlformats.org/drawingml/2006/picture">
                <pic:pic>
                  <pic:nvPicPr>
                    <pic:cNvPr id="0" name="production-hall-layout-sketch.png"/>
                    <pic:cNvPicPr/>
                  </pic:nvPicPr>
                  <pic:blipFill>
                    <a:blip r:embed="rId14"/>
                    <a:stretch>
                      <a:fillRect/>
                    </a:stretch>
                  </pic:blipFill>
                  <pic:spPr>
                    <a:xfrm>
                      <a:off x="0" y="0"/>
                      <a:ext cx="6120000" cy="2690519"/>
                    </a:xfrm>
                    <a:prstGeom prst="rect"/>
                  </pic:spPr>
                </pic:pic>
              </a:graphicData>
            </a:graphic>
          </wp:inline>
        </w:drawing>
      </w:r>
    </w:p>
    <w:p>
      <w:pPr>
        <w:spacing w:before="40" w:after="160"/>
      </w:pPr>
      <w:r>
        <w:rPr>
          <w:i/>
          <w:color w:val="595959"/>
          <w:sz w:val="17"/>
        </w:rPr>
        <w:t>Figure 3. Rough layout sketch of the 60 × 25 m hall (October 2026): machine door and workshop at the ramp end, then mastering, galvanics, stamper prep, material area and lab, the press hall, inspection, QC and packaging along the glazed visitor corridor, with the 5 t crane runway over the production compartment up to the warehouse fire wall. It still draws two Classic positions (the launch plant installs one) and puts reception and the cutting room under the crane's travel, a conflict the Payap scenario model resolves with a separate office building. All positions are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carrying ~40 kWp of PV,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4.9). Where the second Duplex system stands on the Mueang Chi footprint is not drawn yet; the Payap scenario model draws the five-press fleet; its press hall is now planned for Duplex systems (five Duplex bays and four Classic positions), because the plant focuses on special pressings.</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 (launch plant)</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is a lever worth ~4.1M THB</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before the 15%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stays crane-ready would save ~3.7M THB, but that is a scope cut toward the 180M THB case,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solar, automation and technology content, not on pressing plastic discs. The research behind this dates from July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(Announcement 2/2568, April 2025)</w:t>
            </w:r>
          </w:p>
        </w:tc>
        <w:tc>
          <w:tcPr>
            <w:tcW w:type="dxa" w:w="6350"/>
          </w:tcPr>
          <w:p>
            <w:pPr>
              <w:spacing w:after="20" w:before="20"/>
            </w:pPr>
            <w:r/>
            <w:r>
              <w:rPr>
                <w:sz w:val="18"/>
              </w:rPr>
              <w:t>CIT exemption based on the solar investment; PV modules, inverters, battery and battery inverters, and mounting are eligible, capped at THB 12M, 30M or 40M of investment per MW depending on investment type. It rewards a plant-owned array, which matters if the solar PPA lever is used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~161M to 292M THB the launch plant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now in the launch plant,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matching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The relief for small once-through units does not apply at ~10.5 bar (our reading), and the labour-side regulation of 2021 adds licensed-engineer installation and testing and a feedwater standard. A Chinese boiler built to the Chinese GB code would rest on 'or equivalent' with no precedent found, hence the ASME specification.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4.9)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Everything priced or estimated so far, rolled into one view of the launch plant decided in October 2026: one capital round for the whole chain, from the cutting room to the shrink wrapper, commissioned in sequence.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by the launch plant below and are not repeated here; the planning repository keeps them for the record.</w:t>
      </w:r>
    </w:p>
    <w:p>
      <w:pPr>
        <w:pStyle w:val="Heading2"/>
      </w:pPr>
      <w:r>
        <w:t>8.1 The launch plant,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320k to 650k</w:t>
            </w:r>
          </w:p>
        </w:tc>
        <w:tc>
          <w:tcPr>
            <w:tcW w:type="dxa" w:w="1701"/>
            <w:shd w:val="clear" w:color="auto" w:fill="F2F5FA"/>
          </w:tcPr>
          <w:p>
            <w:pPr>
              <w:spacing w:after="20" w:before="20"/>
            </w:pPr>
            <w:r/>
            <w:r>
              <w:rPr>
                <w:sz w:val="17"/>
              </w:rPr>
              <w:t>10.6M to 21.4M</w:t>
            </w:r>
          </w:p>
        </w:tc>
        <w:tc>
          <w:tcPr>
            <w:tcW w:type="dxa" w:w="3288"/>
            <w:shd w:val="clear" w:color="auto" w:fill="F2F5FA"/>
          </w:tcPr>
          <w:p>
            <w:pPr>
              <w:spacing w:after="20" w:before="20"/>
            </w:pPr>
            <w:r/>
            <w:r>
              <w:rPr>
                <w:sz w:val="17"/>
              </w:rPr>
              <w:t xml:space="preserve">Estimate; </w:t>
            </w:r>
            <w:r>
              <w:rPr>
                <w:b/>
                <w:sz w:val="17"/>
              </w:rPr>
              <w:t>no Pheenix price on file</w:t>
            </w:r>
            <w:r>
              <w:rPr>
                <w:sz w:val="17"/>
              </w:rPr>
              <w:t>; OMS's reference prices for a 4-cell wet room (EUR 224k to 311k, ~USD 259k to 359k) sit at the low end</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now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stack (XRF, laser confocal, wide-area profiler, inline vision on three presses, audio station)</w:t>
            </w:r>
          </w:p>
        </w:tc>
        <w:tc>
          <w:tcPr>
            <w:tcW w:type="dxa" w:w="1701"/>
          </w:tcPr>
          <w:p>
            <w:pPr>
              <w:spacing w:after="20" w:before="20"/>
            </w:pPr>
            <w:r/>
            <w:r>
              <w:rPr>
                <w:sz w:val="17"/>
              </w:rPr>
              <w:t>350k to 810k</w:t>
            </w:r>
          </w:p>
        </w:tc>
        <w:tc>
          <w:tcPr>
            <w:tcW w:type="dxa" w:w="1701"/>
          </w:tcPr>
          <w:p>
            <w:pPr>
              <w:spacing w:after="20" w:before="20"/>
            </w:pPr>
            <w:r/>
            <w:r>
              <w:rPr>
                <w:sz w:val="17"/>
              </w:rPr>
              <w:t>11.6M to 26.7M</w:t>
            </w:r>
          </w:p>
        </w:tc>
        <w:tc>
          <w:tcPr>
            <w:tcW w:type="dxa" w:w="3288"/>
          </w:tcPr>
          <w:p>
            <w:pPr>
              <w:spacing w:after="20" w:before="20"/>
            </w:pPr>
            <w:r/>
            <w:r>
              <w:rPr>
                <w:sz w:val="17"/>
              </w:rPr>
              <w:t>Estimate, phaseable</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Utilities, solar, battery, HVAC, clean zones, racking</w:t>
            </w:r>
          </w:p>
        </w:tc>
        <w:tc>
          <w:tcPr>
            <w:tcW w:type="dxa" w:w="1701"/>
          </w:tcPr>
          <w:p>
            <w:pPr>
              <w:spacing w:after="20" w:before="20"/>
            </w:pPr>
            <w:r/>
            <w:r>
              <w:rPr>
                <w:sz w:val="17"/>
              </w:rPr>
              <w:t>863k to 1,477k</w:t>
            </w:r>
          </w:p>
        </w:tc>
        <w:tc>
          <w:tcPr>
            <w:tcW w:type="dxa" w:w="1701"/>
          </w:tcPr>
          <w:p>
            <w:pPr>
              <w:spacing w:after="20" w:before="20"/>
            </w:pPr>
            <w:r/>
            <w:r>
              <w:rPr>
                <w:sz w:val="17"/>
              </w:rPr>
              <w:t>28.5M to 48.7M</w:t>
            </w:r>
          </w:p>
        </w:tc>
        <w:tc>
          <w:tcPr>
            <w:tcW w:type="dxa" w:w="3288"/>
          </w:tcPr>
          <w:p>
            <w:pPr>
              <w:spacing w:after="20" w:before="20"/>
            </w:pPr>
            <w:r/>
            <w:r>
              <w:rPr>
                <w:sz w:val="17"/>
              </w:rPr>
              <w:t>Researched: Thai supplier ranges, re-sized for three presses (two chiller modules instead of three)</w:t>
            </w:r>
          </w:p>
        </w:tc>
      </w:tr>
      <w:tr>
        <w:trPr>
          <w:cantSplit/>
        </w:trPr>
        <w:tc>
          <w:tcPr>
            <w:tcW w:type="dxa" w:w="2948"/>
            <w:shd w:val="clear" w:color="auto" w:fill="F2F5FA"/>
          </w:tcPr>
          <w:p>
            <w:pPr>
              <w:spacing w:after="20" w:before="20"/>
            </w:pPr>
            <w:r/>
            <w:r>
              <w:rPr>
                <w:sz w:val="17"/>
              </w:rPr>
              <w:t>Building ~1,500 m² plus civil and site works</w:t>
            </w:r>
          </w:p>
        </w:tc>
        <w:tc>
          <w:tcPr>
            <w:tcW w:type="dxa" w:w="1701"/>
            <w:shd w:val="clear" w:color="auto" w:fill="F2F5FA"/>
          </w:tcPr>
          <w:p>
            <w:pPr>
              <w:spacing w:after="20" w:before="20"/>
            </w:pPr>
            <w:r/>
            <w:r>
              <w:rPr>
                <w:sz w:val="17"/>
              </w:rPr>
              <w:t>650k to 1,100k</w:t>
            </w:r>
          </w:p>
        </w:tc>
        <w:tc>
          <w:tcPr>
            <w:tcW w:type="dxa" w:w="1701"/>
            <w:shd w:val="clear" w:color="auto" w:fill="F2F5FA"/>
          </w:tcPr>
          <w:p>
            <w:pPr>
              <w:spacing w:after="20" w:before="20"/>
            </w:pPr>
            <w:r/>
            <w:r>
              <w:rPr>
                <w:sz w:val="17"/>
              </w:rPr>
              <w:t>21.4M to 36.3M</w:t>
            </w:r>
          </w:p>
        </w:tc>
        <w:tc>
          <w:tcPr>
            <w:tcW w:type="dxa" w:w="3288"/>
            <w:shd w:val="clear" w:color="auto" w:fill="F2F5FA"/>
          </w:tcPr>
          <w:p>
            <w:pPr>
              <w:spacing w:after="20" w:before="20"/>
            </w:pPr>
            <w:r/>
            <w:r>
              <w:rPr>
                <w:sz w:val="17"/>
              </w:rPr>
              <w:t>Estimate at 12,000 to 20,000 THB/m² plus ~20 % site works; soil is the main variable</w:t>
            </w:r>
          </w:p>
        </w:tc>
      </w:tr>
      <w:tr>
        <w:trPr>
          <w:cantSplit/>
        </w:trPr>
        <w:tc>
          <w:tcPr>
            <w:tcW w:type="dxa" w:w="2948"/>
          </w:tcPr>
          <w:p>
            <w:pPr>
              <w:spacing w:after="20" w:before="20"/>
            </w:pPr>
            <w:r/>
            <w:r>
              <w:rPr>
                <w:sz w:val="17"/>
              </w:rPr>
              <w:t>Overhead crane, runway, frame premium, machine door</w:t>
            </w:r>
          </w:p>
        </w:tc>
        <w:tc>
          <w:tcPr>
            <w:tcW w:type="dxa" w:w="1701"/>
          </w:tcPr>
          <w:p>
            <w:pPr>
              <w:spacing w:after="20" w:before="20"/>
            </w:pPr>
            <w:r/>
            <w:r>
              <w:rPr>
                <w:sz w:val="17"/>
              </w:rPr>
              <w:t>97k to 227k</w:t>
            </w:r>
          </w:p>
        </w:tc>
        <w:tc>
          <w:tcPr>
            <w:tcW w:type="dxa" w:w="1701"/>
          </w:tcPr>
          <w:p>
            <w:pPr>
              <w:spacing w:after="20" w:before="20"/>
            </w:pPr>
            <w:r/>
            <w:r>
              <w:rPr>
                <w:sz w:val="17"/>
              </w:rPr>
              <w:t>3.2M to 7.5M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Maintenance workshop and machine bay fit-out</w:t>
            </w:r>
          </w:p>
        </w:tc>
        <w:tc>
          <w:tcPr>
            <w:tcW w:type="dxa" w:w="1701"/>
            <w:shd w:val="clear" w:color="auto" w:fill="F2F5FA"/>
          </w:tcPr>
          <w:p>
            <w:pPr>
              <w:spacing w:after="20" w:before="20"/>
            </w:pPr>
            <w:r/>
            <w:r>
              <w:rPr>
                <w:sz w:val="17"/>
              </w:rPr>
              <w:t>30k to 76k</w:t>
            </w:r>
          </w:p>
        </w:tc>
        <w:tc>
          <w:tcPr>
            <w:tcW w:type="dxa" w:w="1701"/>
            <w:shd w:val="clear" w:color="auto" w:fill="F2F5FA"/>
          </w:tcPr>
          <w:p>
            <w:pPr>
              <w:spacing w:after="20" w:before="20"/>
            </w:pPr>
            <w:r/>
            <w:r>
              <w:rPr>
                <w:sz w:val="17"/>
              </w:rPr>
              <w:t>1.0M to 2.5M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Visitor corridor and accessible entrance</w:t>
            </w:r>
          </w:p>
        </w:tc>
        <w:tc>
          <w:tcPr>
            <w:tcW w:type="dxa" w:w="1701"/>
          </w:tcPr>
          <w:p>
            <w:pPr>
              <w:spacing w:after="20" w:before="20"/>
            </w:pPr>
            <w:r/>
            <w:r>
              <w:rPr>
                <w:sz w:val="17"/>
              </w:rPr>
              <w:t>67k to 148k</w:t>
            </w:r>
          </w:p>
        </w:tc>
        <w:tc>
          <w:tcPr>
            <w:tcW w:type="dxa" w:w="1701"/>
          </w:tcPr>
          <w:p>
            <w:pPr>
              <w:spacing w:after="20" w:before="20"/>
            </w:pPr>
            <w:r/>
            <w:r>
              <w:rPr>
                <w:sz w:val="17"/>
              </w:rPr>
              <w:t>2.2M to 4.9M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Cassette duplication and CD-R duplication</w:t>
            </w:r>
          </w:p>
        </w:tc>
        <w:tc>
          <w:tcPr>
            <w:tcW w:type="dxa" w:w="1701"/>
            <w:shd w:val="clear" w:color="auto" w:fill="F2F5FA"/>
          </w:tcPr>
          <w:p>
            <w:pPr>
              <w:spacing w:after="20" w:before="20"/>
            </w:pPr>
            <w:r/>
            <w:r>
              <w:rPr>
                <w:sz w:val="17"/>
              </w:rPr>
              <w:t>55k to 190k</w:t>
            </w:r>
          </w:p>
        </w:tc>
        <w:tc>
          <w:tcPr>
            <w:tcW w:type="dxa" w:w="1701"/>
            <w:shd w:val="clear" w:color="auto" w:fill="F2F5FA"/>
          </w:tcPr>
          <w:p>
            <w:pPr>
              <w:spacing w:after="20" w:before="20"/>
            </w:pPr>
            <w:r/>
            <w:r>
              <w:rPr>
                <w:sz w:val="17"/>
              </w:rPr>
              <w:t>1.8M to 6.3M</w:t>
            </w:r>
          </w:p>
        </w:tc>
        <w:tc>
          <w:tcPr>
            <w:tcW w:type="dxa" w:w="3288"/>
            <w:shd w:val="clear" w:color="auto" w:fill="F2F5FA"/>
          </w:tcPr>
          <w:p>
            <w:pPr>
              <w:spacing w:after="20" w:before="20"/>
            </w:pPr>
            <w:r/>
            <w:r>
              <w:rPr>
                <w:sz w:val="17"/>
              </w:rPr>
              <w:t>Estimate, sections 4.8 and 4.9</w:t>
            </w:r>
          </w:p>
        </w:tc>
      </w:tr>
      <w:tr>
        <w:trPr>
          <w:cantSplit/>
        </w:trPr>
        <w:tc>
          <w:tcPr>
            <w:tcW w:type="dxa" w:w="2948"/>
          </w:tcPr>
          <w:p>
            <w:pPr>
              <w:spacing w:after="20" w:before="20"/>
            </w:pPr>
            <w:r/>
            <w:r>
              <w:rPr>
                <w:sz w:val="17"/>
              </w:rPr>
              <w:t>Freight, installation, commissioning, training (Pheenix, Sibert, Sillitoe, Newbilt beyond its quoted 5 days)</w:t>
            </w:r>
          </w:p>
        </w:tc>
        <w:tc>
          <w:tcPr>
            <w:tcW w:type="dxa" w:w="1701"/>
          </w:tcPr>
          <w:p>
            <w:pPr>
              <w:spacing w:after="20" w:before="20"/>
            </w:pPr>
            <w:r/>
            <w:r>
              <w:rPr>
                <w:sz w:val="17"/>
              </w:rPr>
              <w:t>150k to 300k</w:t>
            </w:r>
          </w:p>
        </w:tc>
        <w:tc>
          <w:tcPr>
            <w:tcW w:type="dxa" w:w="1701"/>
          </w:tcPr>
          <w:p>
            <w:pPr>
              <w:spacing w:after="20" w:before="20"/>
            </w:pPr>
            <w:r/>
            <w:r>
              <w:rPr>
                <w:sz w:val="17"/>
              </w:rPr>
              <w:t>5.0M to 9.9M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Working capital, PVC stock, spares, lease deposit, first-year rent</w:t>
            </w:r>
          </w:p>
        </w:tc>
        <w:tc>
          <w:tcPr>
            <w:tcW w:type="dxa" w:w="1701"/>
            <w:shd w:val="clear" w:color="auto" w:fill="F2F5FA"/>
          </w:tcPr>
          <w:p>
            <w:pPr>
              <w:spacing w:after="20" w:before="20"/>
            </w:pPr>
            <w:r/>
            <w:r>
              <w:rPr>
                <w:sz w:val="17"/>
              </w:rPr>
              <w:t>135k to 290k</w:t>
            </w:r>
          </w:p>
        </w:tc>
        <w:tc>
          <w:tcPr>
            <w:tcW w:type="dxa" w:w="1701"/>
            <w:shd w:val="clear" w:color="auto" w:fill="F2F5FA"/>
          </w:tcPr>
          <w:p>
            <w:pPr>
              <w:spacing w:after="20" w:before="20"/>
            </w:pPr>
            <w:r/>
            <w:r>
              <w:rPr>
                <w:sz w:val="17"/>
              </w:rPr>
              <w:t>4.5M to 9.6M</w:t>
            </w:r>
          </w:p>
        </w:tc>
        <w:tc>
          <w:tcPr>
            <w:tcW w:type="dxa" w:w="3288"/>
            <w:shd w:val="clear" w:color="auto" w:fill="F2F5FA"/>
          </w:tcPr>
          <w:p>
            <w:pPr>
              <w:spacing w:after="20" w:before="20"/>
            </w:pPr>
            <w:r/>
            <w:r>
              <w:rPr>
                <w:sz w:val="17"/>
              </w:rPr>
              <w:t>Estimate; land is leased, so no land purchase</w:t>
            </w:r>
          </w:p>
        </w:tc>
      </w:tr>
      <w:tr>
        <w:trPr>
          <w:cantSplit/>
        </w:trPr>
        <w:tc>
          <w:tcPr>
            <w:tcW w:type="dxa" w:w="2948"/>
          </w:tcPr>
          <w:p>
            <w:pPr>
              <w:spacing w:after="20" w:before="20"/>
            </w:pPr>
            <w:r/>
            <w:r>
              <w:rPr>
                <w:sz w:val="17"/>
              </w:rPr>
              <w:t>Subtotal</w:t>
            </w:r>
          </w:p>
        </w:tc>
        <w:tc>
          <w:tcPr>
            <w:tcW w:type="dxa" w:w="1701"/>
          </w:tcPr>
          <w:p>
            <w:pPr>
              <w:spacing w:after="20" w:before="20"/>
            </w:pPr>
            <w:r/>
            <w:r>
              <w:rPr>
                <w:sz w:val="17"/>
              </w:rPr>
              <w:t>~4.24M to 7.71M</w:t>
            </w:r>
          </w:p>
        </w:tc>
        <w:tc>
          <w:tcPr>
            <w:tcW w:type="dxa" w:w="1701"/>
          </w:tcPr>
          <w:p>
            <w:pPr>
              <w:spacing w:after="20" w:before="20"/>
            </w:pPr>
            <w:r/>
            <w:r>
              <w:rPr>
                <w:sz w:val="17"/>
              </w:rPr>
              <w:t>~140M to 254M</w:t>
            </w:r>
          </w:p>
        </w:tc>
        <w:tc>
          <w:tcPr>
            <w:tcW w:type="dxa" w:w="3288"/>
          </w:tcPr>
          <w:p>
            <w:pPr>
              <w:spacing w:after="20" w:before="20"/>
            </w:pPr>
            <w:r/>
          </w:p>
        </w:tc>
      </w:tr>
      <w:tr>
        <w:trPr>
          <w:cantSplit/>
        </w:trPr>
        <w:tc>
          <w:tcPr>
            <w:tcW w:type="dxa" w:w="2948"/>
            <w:shd w:val="clear" w:color="auto" w:fill="F2F5FA"/>
          </w:tcPr>
          <w:p>
            <w:pPr>
              <w:spacing w:after="20" w:before="20"/>
            </w:pPr>
            <w:r/>
            <w:r>
              <w:rPr>
                <w:sz w:val="17"/>
              </w:rPr>
              <w:t>Contingency 15 %</w:t>
            </w:r>
          </w:p>
        </w:tc>
        <w:tc>
          <w:tcPr>
            <w:tcW w:type="dxa" w:w="1701"/>
            <w:shd w:val="clear" w:color="auto" w:fill="F2F5FA"/>
          </w:tcPr>
          <w:p>
            <w:pPr>
              <w:spacing w:after="20" w:before="20"/>
            </w:pPr>
            <w:r/>
            <w:r>
              <w:rPr>
                <w:sz w:val="17"/>
              </w:rPr>
              <w:t>~0.64M to 1.16M</w:t>
            </w:r>
          </w:p>
        </w:tc>
        <w:tc>
          <w:tcPr>
            <w:tcW w:type="dxa" w:w="1701"/>
            <w:shd w:val="clear" w:color="auto" w:fill="F2F5FA"/>
          </w:tcPr>
          <w:p>
            <w:pPr>
              <w:spacing w:after="20" w:before="20"/>
            </w:pPr>
            <w:r/>
            <w:r>
              <w:rPr>
                <w:sz w:val="17"/>
              </w:rPr>
              <w:t>~21M to 38M</w:t>
            </w:r>
          </w:p>
        </w:tc>
        <w:tc>
          <w:tcPr>
            <w:tcW w:type="dxa" w:w="3288"/>
            <w:shd w:val="clear" w:color="auto" w:fill="F2F5FA"/>
          </w:tcPr>
          <w:p>
            <w:pPr>
              <w:spacing w:after="20" w:before="20"/>
            </w:pPr>
            <w:r/>
          </w:p>
        </w:tc>
      </w:tr>
      <w:tr>
        <w:trPr>
          <w:cantSplit/>
        </w:trPr>
        <w:tc>
          <w:tcPr>
            <w:tcW w:type="dxa" w:w="2948"/>
          </w:tcPr>
          <w:p>
            <w:pPr>
              <w:spacing w:after="20" w:before="20"/>
            </w:pPr>
            <w:r/>
            <w:r>
              <w:rPr>
                <w:b/>
                <w:sz w:val="17"/>
              </w:rPr>
              <w:t>Total, launch plant</w:t>
            </w:r>
          </w:p>
        </w:tc>
        <w:tc>
          <w:tcPr>
            <w:tcW w:type="dxa" w:w="1701"/>
          </w:tcPr>
          <w:p>
            <w:pPr>
              <w:spacing w:after="20" w:before="20"/>
            </w:pPr>
            <w:r/>
            <w:r>
              <w:rPr>
                <w:b/>
                <w:sz w:val="17"/>
              </w:rPr>
              <w:t>~4.9M to 8.9M</w:t>
            </w:r>
          </w:p>
        </w:tc>
        <w:tc>
          <w:tcPr>
            <w:tcW w:type="dxa" w:w="1701"/>
          </w:tcPr>
          <w:p>
            <w:pPr>
              <w:spacing w:after="20" w:before="20"/>
            </w:pPr>
            <w:r/>
            <w:r>
              <w:rPr>
                <w:b/>
                <w:sz w:val="17"/>
              </w:rPr>
              <w:t>~161M to 292M</w:t>
            </w:r>
          </w:p>
        </w:tc>
        <w:tc>
          <w:tcPr>
            <w:tcW w:type="dxa" w:w="3288"/>
          </w:tcPr>
          <w:p>
            <w:pPr>
              <w:spacing w:after="20" w:before="20"/>
            </w:pPr>
            <w:r/>
            <w:r>
              <w:rPr>
                <w:b/>
                <w:sz w:val="17"/>
              </w:rPr>
              <w:t>Midpoint ~6.9M USD, ~227M THB</w:t>
            </w:r>
          </w:p>
        </w:tc>
      </w:tr>
    </w:tbl>
    <w:p>
      <w:pPr>
        <w:spacing w:before="40" w:after="160"/>
      </w:pPr>
      <w:r>
        <w:rPr>
          <w:i/>
          <w:color w:val="595959"/>
          <w:sz w:val="17"/>
        </w:rPr>
        <w:t>Source: docs/finance/total-investment.md, 'Launch plant (October 2026)'. The second Duplex system and further Classics are growth options with room reserved (hall floor, utility module positions, ring-main tees), not part of this total.</w:t>
      </w:r>
    </w:p>
    <w:p>
      <w:r>
        <w:rPr>
          <w:b/>
        </w:rPr>
        <w:t>Not in the total:</w:t>
      </w:r>
      <w:r>
        <w:rPr/>
        <w:t xml:space="preserve"> a reserve for the ramp-up (staff hired before first revenue, overheads until volume covers them), ~10M to 20M THB, estimate; CD replication (section 4.9);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comes on top, plus ~0.17M USD of import VAT paid at the border and reclaimed later (estimates).</w:t>
      </w:r>
    </w:p>
    <w:p>
      <w:pPr>
        <w:pStyle w:val="Heading2"/>
      </w:pPr>
      <w:r>
        <w:t>8.2 The investor's question: 180M THB, maybe 20 % more</w:t>
      </w:r>
    </w:p>
    <w:p>
      <w:r>
        <w:rPr/>
        <w:t xml:space="preserve">The lead investor asked in October 2026 whether the plant can be built for </w:t>
      </w:r>
      <w:r>
        <w:rPr>
          <w:b/>
        </w:rPr>
        <w:t>180M THB (~5.45M USD), possibly up to 20 % more (216M THB, ~6.55M USD)</w:t>
      </w:r>
      <w:r>
        <w:rPr/>
        <w:t>. Against the launch-plant total:</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Case</w:t>
            </w:r>
          </w:p>
        </w:tc>
        <w:tc>
          <w:tcPr>
            <w:tcW w:type="dxa" w:w="2268"/>
            <w:shd w:val="clear" w:color="auto" w:fill="1F3864"/>
          </w:tcPr>
          <w:p>
            <w:pPr>
              <w:spacing w:after="20" w:before="20"/>
            </w:pPr>
            <w:r>
              <w:rPr>
                <w:b/>
              </w:rPr>
            </w:r>
            <w:r>
              <w:rPr>
                <w:b/>
                <w:color w:val="FFFFFF"/>
                <w:sz w:val="18"/>
              </w:rPr>
              <w:t>Launch plant</w:t>
            </w:r>
          </w:p>
        </w:tc>
        <w:tc>
          <w:tcPr>
            <w:tcW w:type="dxa" w:w="2268"/>
            <w:shd w:val="clear" w:color="auto" w:fill="1F3864"/>
          </w:tcPr>
          <w:p>
            <w:pPr>
              <w:spacing w:after="20" w:before="20"/>
            </w:pPr>
            <w:r>
              <w:rPr>
                <w:b/>
              </w:rPr>
            </w:r>
            <w:r>
              <w:rPr>
                <w:b/>
                <w:color w:val="FFFFFF"/>
                <w:sz w:val="18"/>
              </w:rPr>
              <w:t>Against 180M</w:t>
            </w:r>
          </w:p>
        </w:tc>
        <w:tc>
          <w:tcPr>
            <w:tcW w:type="dxa" w:w="2268"/>
            <w:shd w:val="clear" w:color="auto" w:fill="1F3864"/>
          </w:tcPr>
          <w:p>
            <w:pPr>
              <w:spacing w:after="20" w:before="20"/>
            </w:pPr>
            <w:r>
              <w:rPr>
                <w:b/>
              </w:rPr>
            </w:r>
            <w:r>
              <w:rPr>
                <w:b/>
                <w:color w:val="FFFFFF"/>
                <w:sz w:val="18"/>
              </w:rPr>
              <w:t>Against 216M</w:t>
            </w:r>
          </w:p>
        </w:tc>
      </w:tr>
      <w:tr>
        <w:trPr>
          <w:cantSplit/>
        </w:trPr>
        <w:tc>
          <w:tcPr>
            <w:tcW w:type="dxa" w:w="2835"/>
          </w:tcPr>
          <w:p>
            <w:pPr>
              <w:spacing w:after="20" w:before="20"/>
            </w:pPr>
            <w:r/>
            <w:r>
              <w:rPr>
                <w:sz w:val="18"/>
              </w:rPr>
              <w:t>Low end of every block</w:t>
            </w:r>
          </w:p>
        </w:tc>
        <w:tc>
          <w:tcPr>
            <w:tcW w:type="dxa" w:w="2268"/>
          </w:tcPr>
          <w:p>
            <w:pPr>
              <w:spacing w:after="20" w:before="20"/>
            </w:pPr>
            <w:r/>
            <w:r>
              <w:rPr>
                <w:sz w:val="18"/>
              </w:rPr>
              <w:t>~161M THB</w:t>
            </w:r>
          </w:p>
        </w:tc>
        <w:tc>
          <w:tcPr>
            <w:tcW w:type="dxa" w:w="2268"/>
          </w:tcPr>
          <w:p>
            <w:pPr>
              <w:spacing w:after="20" w:before="20"/>
            </w:pPr>
            <w:r/>
            <w:r>
              <w:rPr>
                <w:sz w:val="18"/>
              </w:rPr>
              <w:t>Fits, ~19M to spare</w:t>
            </w:r>
          </w:p>
        </w:tc>
        <w:tc>
          <w:tcPr>
            <w:tcW w:type="dxa" w:w="2268"/>
          </w:tcPr>
          <w:p>
            <w:pPr>
              <w:spacing w:after="20" w:before="20"/>
            </w:pPr>
            <w:r/>
            <w:r>
              <w:rPr>
                <w:sz w:val="18"/>
              </w:rPr>
              <w:t>Fits</w:t>
            </w:r>
          </w:p>
        </w:tc>
      </w:tr>
      <w:tr>
        <w:trPr>
          <w:cantSplit/>
        </w:trPr>
        <w:tc>
          <w:tcPr>
            <w:tcW w:type="dxa" w:w="2835"/>
            <w:shd w:val="clear" w:color="auto" w:fill="F2F5FA"/>
          </w:tcPr>
          <w:p>
            <w:pPr>
              <w:spacing w:after="20" w:before="20"/>
            </w:pPr>
            <w:r/>
            <w:r>
              <w:rPr>
                <w:sz w:val="18"/>
              </w:rPr>
              <w:t>Midpoint</w:t>
            </w:r>
          </w:p>
        </w:tc>
        <w:tc>
          <w:tcPr>
            <w:tcW w:type="dxa" w:w="2268"/>
            <w:shd w:val="clear" w:color="auto" w:fill="F2F5FA"/>
          </w:tcPr>
          <w:p>
            <w:pPr>
              <w:spacing w:after="20" w:before="20"/>
            </w:pPr>
            <w:r/>
            <w:r>
              <w:rPr>
                <w:sz w:val="18"/>
              </w:rPr>
              <w:t>~227M THB</w:t>
            </w:r>
          </w:p>
        </w:tc>
        <w:tc>
          <w:tcPr>
            <w:tcW w:type="dxa" w:w="2268"/>
            <w:shd w:val="clear" w:color="auto" w:fill="F2F5FA"/>
          </w:tcPr>
          <w:p>
            <w:pPr>
              <w:spacing w:after="20" w:before="20"/>
            </w:pPr>
            <w:r/>
            <w:r>
              <w:rPr>
                <w:sz w:val="18"/>
              </w:rPr>
              <w:t>~47M over</w:t>
            </w:r>
          </w:p>
        </w:tc>
        <w:tc>
          <w:tcPr>
            <w:tcW w:type="dxa" w:w="2268"/>
            <w:shd w:val="clear" w:color="auto" w:fill="F2F5FA"/>
          </w:tcPr>
          <w:p>
            <w:pPr>
              <w:spacing w:after="20" w:before="20"/>
            </w:pPr>
            <w:r/>
            <w:r>
              <w:rPr>
                <w:sz w:val="18"/>
              </w:rPr>
              <w:t>~11M over</w:t>
            </w:r>
          </w:p>
        </w:tc>
      </w:tr>
      <w:tr>
        <w:trPr>
          <w:cantSplit/>
        </w:trPr>
        <w:tc>
          <w:tcPr>
            <w:tcW w:type="dxa" w:w="2835"/>
          </w:tcPr>
          <w:p>
            <w:pPr>
              <w:spacing w:after="20" w:before="20"/>
            </w:pPr>
            <w:r/>
            <w:r>
              <w:rPr>
                <w:sz w:val="18"/>
              </w:rPr>
              <w:t>High end of every block</w:t>
            </w:r>
          </w:p>
        </w:tc>
        <w:tc>
          <w:tcPr>
            <w:tcW w:type="dxa" w:w="2268"/>
          </w:tcPr>
          <w:p>
            <w:pPr>
              <w:spacing w:after="20" w:before="20"/>
            </w:pPr>
            <w:r/>
            <w:r>
              <w:rPr>
                <w:sz w:val="18"/>
              </w:rPr>
              <w:t>~292M THB</w:t>
            </w:r>
          </w:p>
        </w:tc>
        <w:tc>
          <w:tcPr>
            <w:tcW w:type="dxa" w:w="2268"/>
          </w:tcPr>
          <w:p>
            <w:pPr>
              <w:spacing w:after="20" w:before="20"/>
            </w:pPr>
            <w:r/>
            <w:r>
              <w:rPr>
                <w:sz w:val="18"/>
              </w:rPr>
              <w:t>~112M over</w:t>
            </w:r>
          </w:p>
        </w:tc>
        <w:tc>
          <w:tcPr>
            <w:tcW w:type="dxa" w:w="2268"/>
          </w:tcPr>
          <w:p>
            <w:pPr>
              <w:spacing w:after="20" w:before="20"/>
            </w:pPr>
            <w:r/>
            <w:r>
              <w:rPr>
                <w:sz w:val="18"/>
              </w:rPr>
              <w:t>~76M over</w:t>
            </w:r>
          </w:p>
        </w:tc>
      </w:tr>
    </w:tbl>
    <w:p>
      <w:pPr>
        <w:spacing w:after="40"/>
      </w:pPr>
    </w:p>
    <w:p>
      <w:r>
        <w:rPr/>
        <w:t>At the midpoint, four levers bring the plant inside 216M without dropping any of the machines decided above (midpoint values with their share of the contingency, estimates):</w:t>
      </w:r>
    </w:p>
    <w:tbl>
      <w:tblPr>
        <w:tblStyle w:val="TableGrid"/>
        <w:tblW w:type="auto" w:w="0"/>
        <w:jc w:val="center"/>
        <w:tblLayout w:type="fixed"/>
        <w:tblLook w:firstColumn="1" w:firstRow="1" w:lastColumn="0" w:lastRow="0" w:noHBand="0" w:noVBand="1" w:val="04A0"/>
      </w:tblPr>
      <w:tblGrid>
        <w:gridCol w:w="6236"/>
        <w:gridCol w:w="1474"/>
        <w:gridCol w:w="1928"/>
      </w:tblGrid>
      <w:tr>
        <w:trPr>
          <w:tblHeader w:val="true"/>
          <w:cantSplit/>
        </w:trPr>
        <w:tc>
          <w:tcPr>
            <w:tcW w:type="dxa" w:w="6236"/>
            <w:shd w:val="clear" w:color="auto" w:fill="1F3864"/>
          </w:tcPr>
          <w:p>
            <w:pPr>
              <w:spacing w:after="20" w:before="20"/>
            </w:pPr>
            <w:r>
              <w:rPr>
                <w:b/>
              </w:rPr>
            </w:r>
            <w:r>
              <w:rPr>
                <w:b/>
                <w:color w:val="FFFFFF"/>
                <w:sz w:val="18"/>
              </w:rPr>
              <w:t>Lever</w:t>
            </w:r>
          </w:p>
        </w:tc>
        <w:tc>
          <w:tcPr>
            <w:tcW w:type="dxa" w:w="1474"/>
            <w:shd w:val="clear" w:color="auto" w:fill="1F3864"/>
          </w:tcPr>
          <w:p>
            <w:pPr>
              <w:spacing w:after="20" w:before="20"/>
            </w:pPr>
            <w:r>
              <w:rPr>
                <w:b/>
              </w:rPr>
            </w:r>
            <w:r>
              <w:rPr>
                <w:b/>
                <w:color w:val="FFFFFF"/>
                <w:sz w:val="18"/>
              </w:rPr>
              <w:t>Saves</w:t>
            </w:r>
          </w:p>
        </w:tc>
        <w:tc>
          <w:tcPr>
            <w:tcW w:type="dxa" w:w="1928"/>
            <w:shd w:val="clear" w:color="auto" w:fill="1F3864"/>
          </w:tcPr>
          <w:p>
            <w:pPr>
              <w:spacing w:after="20" w:before="20"/>
            </w:pPr>
            <w:r>
              <w:rPr>
                <w:b/>
              </w:rPr>
            </w:r>
            <w:r>
              <w:rPr>
                <w:b/>
                <w:color w:val="FFFFFF"/>
                <w:sz w:val="18"/>
              </w:rPr>
              <w:t>Launch plant after it</w:t>
            </w:r>
          </w:p>
        </w:tc>
      </w:tr>
      <w:tr>
        <w:trPr>
          <w:cantSplit/>
        </w:trPr>
        <w:tc>
          <w:tcPr>
            <w:tcW w:type="dxa" w:w="6236"/>
          </w:tcPr>
          <w:p>
            <w:pPr>
              <w:spacing w:after="20" w:before="20"/>
            </w:pPr>
            <w:r/>
            <w:r>
              <w:rPr>
                <w:sz w:val="18"/>
              </w:rPr>
              <w:t>Rooftop solar and battery through a solar PPA (the installer owns and finances the array, the plant buys the power) instead of buying them</w:t>
            </w:r>
          </w:p>
        </w:tc>
        <w:tc>
          <w:tcPr>
            <w:tcW w:type="dxa" w:w="1474"/>
          </w:tcPr>
          <w:p>
            <w:pPr>
              <w:spacing w:after="20" w:before="20"/>
            </w:pPr>
            <w:r/>
            <w:r>
              <w:rPr>
                <w:sz w:val="18"/>
              </w:rPr>
              <w:t>~12.3M THB</w:t>
            </w:r>
          </w:p>
        </w:tc>
        <w:tc>
          <w:tcPr>
            <w:tcW w:type="dxa" w:w="1928"/>
          </w:tcPr>
          <w:p>
            <w:pPr>
              <w:spacing w:after="20" w:before="20"/>
            </w:pPr>
            <w:r/>
            <w:r>
              <w:rPr>
                <w:sz w:val="18"/>
              </w:rPr>
              <w:t>~214M THB</w:t>
            </w:r>
          </w:p>
        </w:tc>
      </w:tr>
      <w:tr>
        <w:trPr>
          <w:cantSplit/>
        </w:trPr>
        <w:tc>
          <w:tcPr>
            <w:tcW w:type="dxa" w:w="6236"/>
            <w:shd w:val="clear" w:color="auto" w:fill="F2F5FA"/>
          </w:tcPr>
          <w:p>
            <w:pPr>
              <w:spacing w:after="20" w:before="20"/>
            </w:pPr>
            <w:r/>
            <w:r>
              <w:rPr>
                <w:sz w:val="18"/>
              </w:rPr>
              <w:t>Metrology launch tier (XRF, inline vision, audio station); the laser confocal and the wide-area profiler bought from revenue</w:t>
            </w:r>
          </w:p>
        </w:tc>
        <w:tc>
          <w:tcPr>
            <w:tcW w:type="dxa" w:w="1474"/>
            <w:shd w:val="clear" w:color="auto" w:fill="F2F5FA"/>
          </w:tcPr>
          <w:p>
            <w:pPr>
              <w:spacing w:after="20" w:before="20"/>
            </w:pPr>
            <w:r/>
            <w:r>
              <w:rPr>
                <w:sz w:val="18"/>
              </w:rPr>
              <w:t>~10.1M THB</w:t>
            </w:r>
          </w:p>
        </w:tc>
        <w:tc>
          <w:tcPr>
            <w:tcW w:type="dxa" w:w="1928"/>
            <w:shd w:val="clear" w:color="auto" w:fill="F2F5FA"/>
          </w:tcPr>
          <w:p>
            <w:pPr>
              <w:spacing w:after="20" w:before="20"/>
            </w:pPr>
            <w:r/>
            <w:r>
              <w:rPr>
                <w:sz w:val="18"/>
              </w:rPr>
              <w:t>~204M THB</w:t>
            </w:r>
          </w:p>
        </w:tc>
      </w:tr>
      <w:tr>
        <w:trPr>
          <w:cantSplit/>
        </w:trPr>
        <w:tc>
          <w:tcPr>
            <w:tcW w:type="dxa" w:w="6236"/>
          </w:tcPr>
          <w:p>
            <w:pPr>
              <w:spacing w:after="20" w:before="20"/>
            </w:pPr>
            <w:r/>
            <w:r>
              <w:rPr>
                <w:sz w:val="18"/>
              </w:rPr>
              <w:t>Pheenix galvanics priced near OMS's reference for a 4-cell wet room (EUR 224k to 311k)</w:t>
            </w:r>
          </w:p>
        </w:tc>
        <w:tc>
          <w:tcPr>
            <w:tcW w:type="dxa" w:w="1474"/>
          </w:tcPr>
          <w:p>
            <w:pPr>
              <w:spacing w:after="20" w:before="20"/>
            </w:pPr>
            <w:r/>
            <w:r>
              <w:rPr>
                <w:sz w:val="18"/>
              </w:rPr>
              <w:t>~6.7M THB</w:t>
            </w:r>
          </w:p>
        </w:tc>
        <w:tc>
          <w:tcPr>
            <w:tcW w:type="dxa" w:w="1928"/>
          </w:tcPr>
          <w:p>
            <w:pPr>
              <w:spacing w:after="20" w:before="20"/>
            </w:pPr>
            <w:r/>
            <w:r>
              <w:rPr>
                <w:sz w:val="18"/>
              </w:rPr>
              <w:t>~198M THB</w:t>
            </w:r>
          </w:p>
        </w:tc>
      </w:tr>
      <w:tr>
        <w:trPr>
          <w:cantSplit/>
        </w:trPr>
        <w:tc>
          <w:tcPr>
            <w:tcW w:type="dxa" w:w="6236"/>
            <w:shd w:val="clear" w:color="auto" w:fill="F2F5FA"/>
          </w:tcPr>
          <w:p>
            <w:pPr>
              <w:spacing w:after="20" w:before="20"/>
            </w:pPr>
            <w:r/>
            <w:r>
              <w:rPr>
                <w:sz w:val="18"/>
              </w:rPr>
              <w:t>Visitor corridor built later; the plant runs without public tours at first</w:t>
            </w:r>
          </w:p>
        </w:tc>
        <w:tc>
          <w:tcPr>
            <w:tcW w:type="dxa" w:w="1474"/>
            <w:shd w:val="clear" w:color="auto" w:fill="F2F5FA"/>
          </w:tcPr>
          <w:p>
            <w:pPr>
              <w:spacing w:after="20" w:before="20"/>
            </w:pPr>
            <w:r/>
            <w:r>
              <w:rPr>
                <w:sz w:val="18"/>
              </w:rPr>
              <w:t>~4.1M THB</w:t>
            </w:r>
          </w:p>
        </w:tc>
        <w:tc>
          <w:tcPr>
            <w:tcW w:type="dxa" w:w="1928"/>
            <w:shd w:val="clear" w:color="auto" w:fill="F2F5FA"/>
          </w:tcPr>
          <w:p>
            <w:pPr>
              <w:spacing w:after="20" w:before="20"/>
            </w:pPr>
            <w:r/>
            <w:r>
              <w:rPr>
                <w:sz w:val="18"/>
              </w:rPr>
              <w:t>~193M THB</w:t>
            </w:r>
          </w:p>
        </w:tc>
      </w:tr>
    </w:tbl>
    <w:p>
      <w:pPr>
        <w:spacing w:after="40"/>
      </w:pP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honestly</w:t>
            </w:r>
          </w:p>
          <w:p>
            <w:pPr>
              <w:spacing w:after="60"/>
              <w:ind w:left="227"/>
            </w:pPr>
            <w:r>
              <w:rPr>
                <w:sz w:val="20"/>
              </w:rPr>
              <w:t xml:space="preserve">•  </w:t>
            </w:r>
            <w:r>
              <w:rPr>
                <w:b/>
                <w:sz w:val="20"/>
              </w:rPr>
              <w:t>216M THB is a realistic target for the full equipment list; 180M THB holds only if the open quotes land low.</w:t>
            </w:r>
            <w:r>
              <w:rPr>
                <w:sz w:val="20"/>
              </w:rPr>
              <w:t xml:space="preserve"> With the four levers and the ramp-up reserve of ~10M to 20M THB on top, the midpoint comes to ~203M to 213M THB, inside 216M.</w:t>
            </w:r>
          </w:p>
          <w:p>
            <w:pPr>
              <w:spacing w:after="60"/>
              <w:ind w:left="227"/>
            </w:pPr>
            <w:r>
              <w:rPr>
                <w:sz w:val="20"/>
              </w:rPr>
              <w:t xml:space="preserve">•  </w:t>
            </w:r>
            <w:r>
              <w:rPr>
                <w:b/>
                <w:sz w:val="20"/>
              </w:rPr>
              <w:t>180M is a low-quote outcome, not a plan.</w:t>
            </w:r>
            <w:r>
              <w:rPr>
                <w:sz w:val="20"/>
              </w:rPr>
              <w:t xml:space="preserve"> Reaching it at the midpoint needs scope cuts on top of the levers: cassette and CD-R later (~4.6M THB) and a rented crane for the installations while the frame stays crane-ready (~3.7M THB) give ~185M before the reserve, still above 180M.</w:t>
            </w:r>
          </w:p>
          <w:p>
            <w:pPr>
              <w:spacing w:after="60"/>
              <w:ind w:left="227"/>
            </w:pPr>
            <w:r>
              <w:rPr>
                <w:sz w:val="20"/>
              </w:rPr>
              <w:t xml:space="preserve">•  </w:t>
            </w:r>
            <w:r>
              <w:rPr>
                <w:b/>
                <w:sz w:val="20"/>
              </w:rPr>
              <w:t>Chinese suppliers do not change the answer.</w:t>
            </w:r>
            <w:r>
              <w:rPr>
                <w:sz w:val="20"/>
              </w:rPr>
              <w:t xml:space="preserve"> Boilers, compressed air and hydraulics were checked in October 2026: about 2M THB at the midpoint (~2.5M with contingency), ~1 % of the target. Worth taking for the two boiler modules (ASME-stamped 1.25 MPa design; an imported boiler must be verified by a certification body registered with the Thai Department of Industrial Works) and for the compressor (Kaishan and Denair have Thai offices). The Newbilt hydraulic aggregates stay Newbilt's. Chinese chillers and HVAC, larger blocks, are not checked yet.</w:t>
            </w:r>
          </w:p>
        </w:tc>
      </w:tr>
    </w:tbl>
    <w:p>
      <w:pPr>
        <w:spacing w:after="40"/>
      </w:pPr>
    </w:p>
    <w:p>
      <w:r>
        <w:rPr>
          <w:b/>
        </w:rPr>
        <w:t>What decides it.</w:t>
      </w:r>
      <w:r>
        <w:rPr/>
        <w:t xml:space="preserve"> The Classic and the Pheenix galvanics line have no price on file, and the building depends on the soil. Four requests settle most of the band: the Newbilt re-quote for the Duplex and the Classic, a Pheenix quote for the galvanics line, the building request for quotation with a soil test, and distributor quotes for the metrology stack. Until they are in, the plan quotes </w:t>
      </w:r>
      <w:r>
        <w:rPr>
          <w:b/>
        </w:rPr>
        <w:t>~216M THB as the target</w:t>
      </w:r>
      <w:r>
        <w:rPr/>
        <w:t xml:space="preserve"> with the levers above, and 180M as the low-quote case.</w:t>
      </w:r>
    </w:p>
    <w:p>
      <w:pPr>
        <w:pStyle w:val="Heading2"/>
      </w:pPr>
      <w:r>
        <w:t>8.3 Tranches</w:t>
      </w:r>
    </w:p>
    <w:p>
      <w:r>
        <w:rPr/>
        <w:t>The launch plant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907"/>
        <w:gridCol w:w="3061"/>
        <w:gridCol w:w="4195"/>
        <w:gridCol w:w="1474"/>
      </w:tblGrid>
      <w:tr>
        <w:trPr>
          <w:tblHeader w:val="true"/>
          <w:cantSplit/>
        </w:trPr>
        <w:tc>
          <w:tcPr>
            <w:tcW w:type="dxa" w:w="907"/>
            <w:shd w:val="clear" w:color="auto" w:fill="1F3864"/>
          </w:tcPr>
          <w:p>
            <w:pPr>
              <w:spacing w:after="20" w:before="20"/>
            </w:pPr>
            <w:r>
              <w:rPr>
                <w:b/>
              </w:rPr>
            </w:r>
            <w:r>
              <w:rPr>
                <w:b/>
                <w:color w:val="FFFFFF"/>
                <w:sz w:val="18"/>
              </w:rPr>
              <w:t>Tranche</w:t>
            </w:r>
          </w:p>
        </w:tc>
        <w:tc>
          <w:tcPr>
            <w:tcW w:type="dxa" w:w="3061"/>
            <w:shd w:val="clear" w:color="auto" w:fill="1F3864"/>
          </w:tcPr>
          <w:p>
            <w:pPr>
              <w:spacing w:after="20" w:before="20"/>
            </w:pPr>
            <w:r>
              <w:rPr>
                <w:b/>
              </w:rPr>
            </w:r>
            <w:r>
              <w:rPr>
                <w:b/>
                <w:color w:val="FFFFFF"/>
                <w:sz w:val="18"/>
              </w:rPr>
              <w:t>Trigger</w:t>
            </w:r>
          </w:p>
        </w:tc>
        <w:tc>
          <w:tcPr>
            <w:tcW w:type="dxa" w:w="4195"/>
            <w:shd w:val="clear" w:color="auto" w:fill="1F3864"/>
          </w:tcPr>
          <w:p>
            <w:pPr>
              <w:spacing w:after="20" w:before="20"/>
            </w:pPr>
            <w:r>
              <w:rPr>
                <w:b/>
              </w:rPr>
            </w:r>
            <w:r>
              <w:rPr>
                <w:b/>
                <w:color w:val="FFFFFF"/>
                <w:sz w:val="18"/>
              </w:rPr>
              <w:t>Covers</w:t>
            </w:r>
          </w:p>
        </w:tc>
        <w:tc>
          <w:tcPr>
            <w:tcW w:type="dxa" w:w="1474"/>
            <w:shd w:val="clear" w:color="auto" w:fill="1F3864"/>
          </w:tcPr>
          <w:p>
            <w:pPr>
              <w:spacing w:after="20" w:before="20"/>
            </w:pPr>
            <w:r>
              <w:rPr>
                <w:b/>
              </w:rPr>
            </w:r>
            <w:r>
              <w:rPr>
                <w:b/>
                <w:color w:val="FFFFFF"/>
                <w:sz w:val="18"/>
              </w:rPr>
              <w:t>Approx. share</w:t>
            </w:r>
          </w:p>
        </w:tc>
      </w:tr>
      <w:tr>
        <w:trPr>
          <w:cantSplit/>
        </w:trPr>
        <w:tc>
          <w:tcPr>
            <w:tcW w:type="dxa" w:w="907"/>
          </w:tcPr>
          <w:p>
            <w:pPr>
              <w:spacing w:after="20" w:before="20"/>
            </w:pPr>
            <w:r/>
            <w:r>
              <w:rPr>
                <w:sz w:val="18"/>
              </w:rPr>
              <w:t>0</w:t>
            </w:r>
          </w:p>
        </w:tc>
        <w:tc>
          <w:tcPr>
            <w:tcW w:type="dxa" w:w="3061"/>
          </w:tcPr>
          <w:p>
            <w:pPr>
              <w:spacing w:after="20" w:before="20"/>
            </w:pPr>
            <w:r/>
            <w:r>
              <w:rPr>
                <w:sz w:val="18"/>
              </w:rPr>
              <w:t>Now</w:t>
            </w:r>
          </w:p>
        </w:tc>
        <w:tc>
          <w:tcPr>
            <w:tcW w:type="dxa" w:w="4195"/>
          </w:tcPr>
          <w:p>
            <w:pPr>
              <w:spacing w:after="20" w:before="20"/>
            </w:pPr>
            <w:r/>
            <w:r>
              <w:rPr>
                <w:sz w:val="18"/>
              </w:rPr>
              <w:t>Phase 0 work (section 14.1)</w:t>
            </w:r>
          </w:p>
        </w:tc>
        <w:tc>
          <w:tcPr>
            <w:tcW w:type="dxa" w:w="1474"/>
          </w:tcPr>
          <w:p>
            <w:pPr>
              <w:spacing w:after="20" w:before="20"/>
            </w:pPr>
            <w:r/>
            <w:r>
              <w:rPr>
                <w:sz w:val="18"/>
              </w:rPr>
              <w:t>1 to 2 %</w:t>
            </w:r>
          </w:p>
        </w:tc>
      </w:tr>
      <w:tr>
        <w:trPr>
          <w:cantSplit/>
        </w:trPr>
        <w:tc>
          <w:tcPr>
            <w:tcW w:type="dxa" w:w="907"/>
            <w:shd w:val="clear" w:color="auto" w:fill="F2F5FA"/>
          </w:tcPr>
          <w:p>
            <w:pPr>
              <w:spacing w:after="20" w:before="20"/>
            </w:pPr>
            <w:r/>
            <w:r>
              <w:rPr>
                <w:sz w:val="18"/>
              </w:rPr>
              <w:t>1</w:t>
            </w:r>
          </w:p>
        </w:tc>
        <w:tc>
          <w:tcPr>
            <w:tcW w:type="dxa" w:w="3061"/>
            <w:shd w:val="clear" w:color="auto" w:fill="F2F5FA"/>
          </w:tcPr>
          <w:p>
            <w:pPr>
              <w:spacing w:after="20" w:before="20"/>
            </w:pPr>
            <w:r/>
            <w:r>
              <w:rPr>
                <w:sz w:val="18"/>
              </w:rPr>
              <w:t>BOI certificate issued; lease signed; zoning and soil confirmed; pricing validated</w:t>
            </w:r>
          </w:p>
        </w:tc>
        <w:tc>
          <w:tcPr>
            <w:tcW w:type="dxa" w:w="4195"/>
            <w:shd w:val="clear" w:color="auto" w:fill="F2F5FA"/>
          </w:tcPr>
          <w:p>
            <w:pPr>
              <w:spacing w:after="20" w:before="20"/>
            </w:pPr>
            <w:r/>
            <w:r>
              <w:rPr>
                <w:sz w:val="18"/>
              </w:rPr>
              <w:t>Deposits on every long-lead order: Pheenix galvanics line, Sillitoe lathe, Sibert line, Newbilt Duplex and Classic; building design and permit; first boiler and chiller modules</w:t>
            </w:r>
          </w:p>
        </w:tc>
        <w:tc>
          <w:tcPr>
            <w:tcW w:type="dxa" w:w="1474"/>
            <w:shd w:val="clear" w:color="auto" w:fill="F2F5FA"/>
          </w:tcPr>
          <w:p>
            <w:pPr>
              <w:spacing w:after="20" w:before="20"/>
            </w:pPr>
            <w:r/>
            <w:r>
              <w:rPr>
                <w:sz w:val="18"/>
              </w:rPr>
              <w:t>20 to 30 %</w:t>
            </w:r>
          </w:p>
        </w:tc>
      </w:tr>
      <w:tr>
        <w:trPr>
          <w:cantSplit/>
        </w:trPr>
        <w:tc>
          <w:tcPr>
            <w:tcW w:type="dxa" w:w="907"/>
          </w:tcPr>
          <w:p>
            <w:pPr>
              <w:spacing w:after="20" w:before="20"/>
            </w:pPr>
            <w:r/>
            <w:r>
              <w:rPr>
                <w:sz w:val="18"/>
              </w:rPr>
              <w:t>2</w:t>
            </w:r>
          </w:p>
        </w:tc>
        <w:tc>
          <w:tcPr>
            <w:tcW w:type="dxa" w:w="3061"/>
          </w:tcPr>
          <w:p>
            <w:pPr>
              <w:spacing w:after="20" w:before="20"/>
            </w:pPr>
            <w:r/>
            <w:r>
              <w:rPr>
                <w:sz w:val="18"/>
              </w:rPr>
              <w:t>Building permit; vendor build dates confirmed in writing</w:t>
            </w:r>
          </w:p>
        </w:tc>
        <w:tc>
          <w:tcPr>
            <w:tcW w:type="dxa" w:w="4195"/>
          </w:tcPr>
          <w:p>
            <w:pPr>
              <w:spacing w:after="20" w:before="20"/>
            </w:pPr>
            <w:r/>
            <w:r>
              <w:rPr>
                <w:sz w:val="18"/>
              </w:rPr>
              <w:t>Construction, water-treatment building, utility yard, utilities, balance payments as machines are built</w:t>
            </w:r>
          </w:p>
        </w:tc>
        <w:tc>
          <w:tcPr>
            <w:tcW w:type="dxa" w:w="1474"/>
          </w:tcPr>
          <w:p>
            <w:pPr>
              <w:spacing w:after="20" w:before="20"/>
            </w:pPr>
            <w:r/>
            <w:r>
              <w:rPr>
                <w:sz w:val="18"/>
              </w:rPr>
              <w:t>35 to 45 %</w:t>
            </w:r>
          </w:p>
        </w:tc>
      </w:tr>
      <w:tr>
        <w:trPr>
          <w:cantSplit/>
        </w:trPr>
        <w:tc>
          <w:tcPr>
            <w:tcW w:type="dxa" w:w="907"/>
            <w:shd w:val="clear" w:color="auto" w:fill="F2F5FA"/>
          </w:tcPr>
          <w:p>
            <w:pPr>
              <w:spacing w:after="20" w:before="20"/>
            </w:pPr>
            <w:r/>
            <w:r>
              <w:rPr>
                <w:sz w:val="18"/>
              </w:rPr>
              <w:t>3</w:t>
            </w:r>
          </w:p>
        </w:tc>
        <w:tc>
          <w:tcPr>
            <w:tcW w:type="dxa" w:w="3061"/>
            <w:shd w:val="clear" w:color="auto" w:fill="F2F5FA"/>
          </w:tcPr>
          <w:p>
            <w:pPr>
              <w:spacing w:after="20" w:before="20"/>
            </w:pPr>
            <w:r/>
            <w:r>
              <w:rPr>
                <w:sz w:val="18"/>
              </w:rPr>
              <w:t>Building watertight; first machinery shipped</w:t>
            </w:r>
          </w:p>
        </w:tc>
        <w:tc>
          <w:tcPr>
            <w:tcW w:type="dxa" w:w="4195"/>
            <w:shd w:val="clear" w:color="auto" w:fill="F2F5FA"/>
          </w:tcPr>
          <w:p>
            <w:pPr>
              <w:spacing w:after="20" w:before="20"/>
            </w:pPr>
            <w:r/>
            <w:r>
              <w:rPr>
                <w:sz w:val="18"/>
              </w:rPr>
              <w:t>Fit-out, HVAC and clean zones, ZLD and DI water, crane, metrology, factory software and ERPNext, cassette and CD-R lines, the launch team</w:t>
            </w:r>
          </w:p>
        </w:tc>
        <w:tc>
          <w:tcPr>
            <w:tcW w:type="dxa" w:w="1474"/>
            <w:shd w:val="clear" w:color="auto" w:fill="F2F5FA"/>
          </w:tcPr>
          <w:p>
            <w:pPr>
              <w:spacing w:after="20" w:before="20"/>
            </w:pPr>
            <w:r/>
            <w:r>
              <w:rPr>
                <w:sz w:val="18"/>
              </w:rPr>
              <w:t>15 to 20 %</w:t>
            </w:r>
          </w:p>
        </w:tc>
      </w:tr>
      <w:tr>
        <w:trPr>
          <w:cantSplit/>
        </w:trPr>
        <w:tc>
          <w:tcPr>
            <w:tcW w:type="dxa" w:w="907"/>
          </w:tcPr>
          <w:p>
            <w:pPr>
              <w:spacing w:after="20" w:before="20"/>
            </w:pPr>
            <w:r/>
            <w:r>
              <w:rPr>
                <w:sz w:val="18"/>
              </w:rPr>
              <w:t>4</w:t>
            </w:r>
          </w:p>
        </w:tc>
        <w:tc>
          <w:tcPr>
            <w:tcW w:type="dxa" w:w="3061"/>
          </w:tcPr>
          <w:p>
            <w:pPr>
              <w:spacing w:after="20" w:before="20"/>
            </w:pPr>
            <w:r/>
            <w:r>
              <w:rPr>
                <w:sz w:val="18"/>
              </w:rPr>
              <w:t>Cutting room and galvanics commissioned; first stampers made</w:t>
            </w:r>
          </w:p>
        </w:tc>
        <w:tc>
          <w:tcPr>
            <w:tcW w:type="dxa" w:w="4195"/>
          </w:tcPr>
          <w:p>
            <w:pPr>
              <w:spacing w:after="20" w:before="20"/>
            </w:pPr>
            <w:r/>
            <w:r>
              <w:rPr>
                <w:sz w:val="18"/>
              </w:rPr>
              <w:t>Working capital, PVC stock, spares, first-year rent; the ramp-up reserve (outside the total) is drawn from here on</w:t>
            </w:r>
          </w:p>
        </w:tc>
        <w:tc>
          <w:tcPr>
            <w:tcW w:type="dxa" w:w="1474"/>
          </w:tcPr>
          <w:p>
            <w:pPr>
              <w:spacing w:after="20" w:before="20"/>
            </w:pPr>
            <w:r/>
            <w:r>
              <w:rPr>
                <w:sz w:val="18"/>
              </w:rPr>
              <w:t>8 to 12 %</w:t>
            </w:r>
          </w:p>
        </w:tc>
      </w:tr>
    </w:tbl>
    <w:p>
      <w:pPr>
        <w:spacing w:after="40"/>
      </w:pPr>
    </w:p>
    <w:p>
      <w:pPr>
        <w:pStyle w:val="Heading2"/>
      </w:pPr>
      <w:r>
        <w:t>8.4 What moves the number</w:t>
      </w:r>
    </w:p>
    <w:p>
      <w:pPr>
        <w:pStyle w:val="ListBullet"/>
      </w:pPr>
      <w:r>
        <w:rPr>
          <w:b/>
        </w:rPr>
        <w:t>BOI promotion.</w:t>
      </w:r>
      <w:r>
        <w:rPr/>
        <w:t xml:space="preserve"> The machinery duty and import VAT exemption applies across most of the equipment blocks (~0.11M USD of duty and ~0.17M USD of import VAT cash flow, estimates), and the automation and solar spend converts into corporate income tax exemption headroom. The application precedes every purchase order. One interaction to check with the BOI consultant: the solar measure is based on the plant's own solar investment, so the solar PPA lever would likely give that headroom up (our reading).</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The two missing machine prices.</w:t>
      </w:r>
      <w:r>
        <w:rPr/>
        <w:t xml:space="preserve"> The Classic and the Pheenix line carry two of the widest machine bands in the table and have no vendor price at all. The Classic band is a placeholder borrowed from another vendor's automatic press.</w:t>
      </w:r>
    </w:p>
    <w:p>
      <w:pPr>
        <w:pStyle w:val="ListBullet"/>
      </w:pPr>
      <w:r>
        <w:rPr>
          <w:b/>
        </w:rPr>
        <w:t>Chinese suppliers: ~1 %.</w:t>
      </w:r>
      <w:r>
        <w:rPr/>
        <w:t xml:space="preserve"> Checked for boilers, compressed air and hydraulics, worth about 2M THB (section 8.2). Chillers and HVAC are the larger blocks and have not been checked yet; that is the next Chinese lever to test.</w:t>
      </w:r>
    </w:p>
    <w:p>
      <w:pPr>
        <w:pStyle w:val="ListBullet"/>
      </w:pPr>
      <w:r>
        <w:rPr>
          <w:b/>
        </w:rPr>
        <w:t>Solar PPA.</w:t>
      </w:r>
      <w:r>
        <w:rPr/>
        <w:t xml:space="preserve"> The largest single lever (~12.3M THB at the midpoint) moves the array off the capital budget and adds a power price to the energy line instead.</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1.48M USD, so the same move is worth roughly USD 0.1M to 0.15M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the launch plant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The launch plant models 200 to 400 titles a year; mastering is labour-bound, and the plan staffs one to two engineers, which caps this line.</w:t>
      </w:r>
    </w:p>
    <w:p>
      <w:pPr>
        <w:pStyle w:val="ListBullet"/>
      </w:pPr>
      <w:r>
        <w:rPr>
          <w:b/>
        </w:rPr>
        <w:t>Cassettes and CD-Rs</w:t>
      </w:r>
      <w:r>
        <w:rPr/>
        <w:t xml:space="preserve"> are add-on lines,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and </w:t>
      </w:r>
      <w:r>
        <w:rPr>
          <w:b/>
        </w:rPr>
        <w:t>stamper supply to other plants</w:t>
      </w:r>
      <w:r>
        <w:rPr/>
        <w:t xml:space="preserve"> are on top and not modelled.</w:t>
      </w:r>
    </w:p>
    <w:p>
      <w:pPr>
        <w:pStyle w:val="Heading2"/>
      </w:pPr>
      <w:r>
        <w:t>9.2 Capacity and revenue of the launch plant</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press fleet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launch plant</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(0.08 to 0.16 on the five-press fleet)</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launch plant</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0.58 to 0.90 million. Labour per record rises to </w:t>
      </w:r>
      <w:r>
        <w:rPr>
          <w:b/>
        </w:rPr>
        <w:t>0.13 / 0.19 / 0.28 USD</w:t>
      </w:r>
      <w:r>
        <w:rPr/>
        <w:t xml:space="preserve"> (favourable / central / adverse), and the direct cost to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the launch plant</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8.9M USD over 10 years (adverse), the 216M THB target (~6.55M USD) over 12.5 years (central), and 4.9M USD over 15 years (favourable).</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0.89M</w:t>
            </w:r>
          </w:p>
        </w:tc>
        <w:tc>
          <w:tcPr>
            <w:tcW w:type="dxa" w:w="2721"/>
            <w:shd w:val="clear" w:color="auto" w:fill="F2F5FA"/>
          </w:tcPr>
          <w:p>
            <w:pPr>
              <w:spacing w:after="20" w:before="20"/>
            </w:pPr>
            <w:r/>
            <w:r>
              <w:rPr>
                <w:sz w:val="18"/>
              </w:rPr>
              <w:t>0.52M</w:t>
            </w:r>
          </w:p>
        </w:tc>
        <w:tc>
          <w:tcPr>
            <w:tcW w:type="dxa" w:w="2041"/>
            <w:shd w:val="clear" w:color="auto" w:fill="F2F5FA"/>
          </w:tcPr>
          <w:p>
            <w:pPr>
              <w:spacing w:after="20" w:before="20"/>
            </w:pPr>
            <w:r/>
            <w:r>
              <w:rPr>
                <w:sz w:val="18"/>
              </w:rPr>
              <w:t>0.33M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-0.66M</w:t>
            </w:r>
          </w:p>
        </w:tc>
        <w:tc>
          <w:tcPr>
            <w:tcW w:type="dxa" w:w="2721"/>
          </w:tcPr>
          <w:p>
            <w:pPr>
              <w:spacing w:after="20" w:before="20"/>
            </w:pPr>
            <w:r/>
            <w:r>
              <w:rPr>
                <w:b/>
                <w:sz w:val="18"/>
              </w:rPr>
              <w:t>1.21M</w:t>
            </w:r>
          </w:p>
        </w:tc>
        <w:tc>
          <w:tcPr>
            <w:tcW w:type="dxa" w:w="2041"/>
          </w:tcPr>
          <w:p>
            <w:pPr>
              <w:spacing w:after="20" w:before="20"/>
            </w:pPr>
            <w:r/>
            <w:r>
              <w:rPr>
                <w:b/>
                <w:sz w:val="18"/>
              </w:rPr>
              <w:t>3.46M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(EBITDA, mature year)</w:t>
            </w:r>
          </w:p>
        </w:tc>
        <w:tc>
          <w:tcPr>
            <w:tcW w:type="dxa" w:w="2041"/>
          </w:tcPr>
          <w:p>
            <w:pPr>
              <w:spacing w:after="20" w:before="20"/>
            </w:pPr>
            <w:r/>
            <w:r>
              <w:rPr>
                <w:sz w:val="18"/>
              </w:rPr>
              <w:t>never</w:t>
            </w:r>
          </w:p>
        </w:tc>
        <w:tc>
          <w:tcPr>
            <w:tcW w:type="dxa" w:w="2721"/>
          </w:tcPr>
          <w:p>
            <w:pPr>
              <w:spacing w:after="20" w:before="20"/>
            </w:pPr>
            <w:r/>
            <w:r>
              <w:rPr>
                <w:sz w:val="18"/>
              </w:rPr>
              <w:t>~3.8 yr (2.8 to 5.1 on 4.9M to 8.9M)</w:t>
            </w:r>
          </w:p>
        </w:tc>
        <w:tc>
          <w:tcPr>
            <w:tcW w:type="dxa" w:w="2041"/>
          </w:tcPr>
          <w:p>
            <w:pPr>
              <w:spacing w:after="20" w:before="20"/>
            </w:pPr>
            <w:r/>
            <w:r>
              <w:rPr>
                <w:sz w:val="18"/>
              </w:rPr>
              <w:t>~1.3 yr</w:t>
            </w:r>
          </w:p>
        </w:tc>
      </w:tr>
    </w:tbl>
    <w:p>
      <w:pPr>
        <w:spacing w:before="40" w:after="160"/>
      </w:pPr>
      <w:r>
        <w:rPr>
          <w:i/>
          <w:color w:val="595959"/>
          <w:sz w:val="17"/>
        </w:rPr>
        <w:t>Estimates, docs/finance/revenue-model.md 'Operating picture of the launch plant (October 2026)'. Title services at 60 to 70 % contribution after lacquers, styli and nickel.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216M THB.</w:t>
            </w:r>
            <w:r>
              <w:rPr>
                <w:sz w:val="20"/>
              </w:rPr>
              <w:t xml:space="preserve"> EBITDA ~1.7M USD (~57M THB) and operating profit ~1.2M USD (~40M THB) a year once the plant runs at volume. It breaks even on operating profit at about </w:t>
            </w:r>
            <w:r>
              <w:rPr>
                <w:b/>
                <w:sz w:val="20"/>
              </w:rPr>
              <w:t>0.25 million records a year, about a third of its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cannot cover depreciation at any volume three presses make.</w:t>
            </w:r>
            <w:r>
              <w:rPr>
                <w:sz w:val="20"/>
              </w:rPr>
              <w:t xml:space="preserve"> It would need ~1.1 million records. It stacks the low price, the high cost, the high capital and the high overheads at once. At the central cost and volume, the price that covers depreciation is only ~2.7 to 3.0 USD (~90 to 98 THB) a record,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and sales commissions. </w:t>
            </w:r>
            <w:r>
              <w:rPr>
                <w:b/>
                <w:sz w:val="20"/>
              </w:rPr>
              <w:t>Treat the adverse column as the honest one until those lines exist.</w:t>
            </w:r>
          </w:p>
          <w:p>
            <w:pPr>
              <w:spacing w:after="60"/>
              <w:ind w:left="227"/>
            </w:pPr>
            <w:r>
              <w:rPr>
                <w:sz w:val="20"/>
              </w:rPr>
              <w:t xml:space="preserve">•  </w:t>
            </w:r>
            <w:r>
              <w:rPr>
                <w:b/>
                <w:sz w:val="20"/>
              </w:rPr>
              <w:t>This is a sensitivity, not a forecast.</w:t>
            </w:r>
            <w:r>
              <w:rPr>
                <w:sz w:val="20"/>
              </w:rPr>
              <w:t xml:space="preserve"> The plant and business plan calculator, with its own cost build-up (it adds electric steam heat and the cutting engineer, which this table leaves out) and the team's faster Duplex planning rate, at which the launch plant is not Duplex-limited, gives at 850k records and 60 % specials: revenue 4.14M, EBITDA 2.07M, operating profit 1.52M USD, payback 3.3 years on a mature year; with a ramp of 35, 70 and 90 % in the first three years, cash payback in year ~4.8 and ~18 % IRR over ten years, pre-tax and pre-financing (estimates). Not modelled here: cassette and CD-R lines, stamper supply to other plants, dropshipping fees, and the ramp year. BOI tax exemptions shield part of early-year profits where there are any.</w:t>
            </w:r>
          </w:p>
        </w:tc>
      </w:tr>
    </w:tbl>
    <w:p>
      <w:pPr>
        <w:spacing w:after="40"/>
      </w:pPr>
    </w:p>
    <w:p>
      <w:pPr>
        <w:pStyle w:val="Heading2"/>
      </w:pPr>
      <w:r>
        <w:t>9.5 The ramp</w:t>
      </w:r>
    </w:p>
    <w:p>
      <w:r>
        <w:rPr/>
        <w:t xml:space="preserve">The table above is a mature year. The launch plant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outside the investment total)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w:t>
      </w:r>
    </w:p>
    <w:p>
      <w:r>
        <w:rPr>
          <w:b/>
        </w:rPr>
        <w:t>The growth option.</w:t>
      </w:r>
      <w:r>
        <w:rPr/>
        <w:t xml:space="preserve"> A second Duplex system (two more semi-automatic presses) lifts the plant to ~1.0 to 1.5 million records a year, roughly </w:t>
      </w:r>
      <w:r>
        <w:rPr>
          <w:b/>
        </w:rPr>
        <w:t>+0.3 to 0.5 million records</w:t>
      </w:r>
      <w:r>
        <w:rPr/>
        <w:t xml:space="preserve">, for </w:t>
      </w:r>
      <w:r>
        <w:rPr>
          <w:b/>
        </w:rPr>
        <w:t>~USD 230k to 300k</w:t>
      </w:r>
      <w:r>
        <w:rPr/>
        <w:t xml:space="preserve"> for the press system (estimate: two presses at the quoted ~115k per press and extruder set, plus hydraulic unit and EX 35, no EX 35 price on file); its utility modules and installation come on top.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and battery (purchase or PPA)</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the full launch plant, and only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first two boiler and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solar, security, crane;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metrology parts bought from revenue if that lever is used; the visitor corridor if built later;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~161M to 292M THB in one round, against ~57M to 95M THB for the superseded phased entry; more of it is committed before the market has validated the price.</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launch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~54M THB on the 216M target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Utilisation and price</w:t>
            </w:r>
          </w:p>
        </w:tc>
        <w:tc>
          <w:tcPr>
            <w:tcW w:type="dxa" w:w="2948"/>
            <w:shd w:val="clear" w:color="auto" w:fill="F2F5FA"/>
          </w:tcPr>
          <w:p>
            <w:pPr>
              <w:spacing w:after="20" w:before="20"/>
            </w:pPr>
            <w:r/>
            <w:r>
              <w:rPr>
                <w:sz w:val="16"/>
              </w:rPr>
              <w:t>The cost structure is mostly fixed; the adverse case loses money even at the full volume of three presses (it needs ~1.1M records to cover depreciation); at 60 % specials the Duplex rate and the extra cost of specials decide volume and margin</w:t>
            </w:r>
          </w:p>
        </w:tc>
        <w:tc>
          <w:tcPr>
            <w:tcW w:type="dxa" w:w="3515"/>
            <w:shd w:val="clear" w:color="auto" w:fill="F2F5FA"/>
          </w:tcPr>
          <w:p>
            <w:pPr>
              <w:spacing w:after="20" w:before="20"/>
            </w:pPr>
            <w:r/>
            <w:r>
              <w:rPr>
                <w:sz w:val="16"/>
              </w:rPr>
              <w:t>Central breaks even at ~0.25M records; commission in sequence; growth options wait for demand; treat the adverse column as the honest one</w:t>
            </w:r>
          </w:p>
        </w:tc>
      </w:tr>
      <w:tr>
        <w:trPr>
          <w:cantSplit/>
        </w:trPr>
        <w:tc>
          <w:tcPr>
            <w:tcW w:type="dxa" w:w="907"/>
          </w:tcPr>
          <w:p>
            <w:pPr>
              <w:spacing w:after="20" w:before="20"/>
            </w:pPr>
            <w:r/>
            <w:r>
              <w:rPr>
                <w:sz w:val="16"/>
              </w:rPr>
              <w:t>High</w:t>
            </w:r>
          </w:p>
        </w:tc>
        <w:tc>
          <w:tcPr>
            <w:tcW w:type="dxa" w:w="2268"/>
          </w:tcPr>
          <w:p>
            <w:pPr>
              <w:spacing w:after="20" w:before="20"/>
            </w:pPr>
            <w:r/>
            <w:r>
              <w:rPr>
                <w:sz w:val="16"/>
              </w:rPr>
              <w:t>Galvanics and cutting on the critical path</w:t>
            </w:r>
          </w:p>
        </w:tc>
        <w:tc>
          <w:tcPr>
            <w:tcW w:type="dxa" w:w="2948"/>
          </w:tcPr>
          <w:p>
            <w:pPr>
              <w:spacing w:after="20" w:before="20"/>
            </w:pPr>
            <w:r/>
            <w:r>
              <w:rPr>
                <w:sz w:val="16"/>
              </w:rPr>
              <w:t>No paying release until the cutting room and galvanics make good stampers; a slow start there delays every press</w:t>
            </w:r>
          </w:p>
        </w:tc>
        <w:tc>
          <w:tcPr>
            <w:tcW w:type="dxa" w:w="3515"/>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Skills: galvanics process engineer, cutting engineer</w:t>
            </w:r>
          </w:p>
        </w:tc>
        <w:tc>
          <w:tcPr>
            <w:tcW w:type="dxa" w:w="2948"/>
            <w:shd w:val="clear" w:color="auto" w:fill="F2F5FA"/>
          </w:tcPr>
          <w:p>
            <w:pPr>
              <w:spacing w:after="20" w:before="20"/>
            </w:pPr>
            <w:r/>
            <w:r>
              <w:rPr>
                <w:sz w:val="16"/>
              </w:rPr>
              <w:t>Galvanics is the hardest skill to hire; both roles are now needed at launch</w:t>
            </w:r>
          </w:p>
        </w:tc>
        <w:tc>
          <w:tcPr>
            <w:tcW w:type="dxa" w:w="3515"/>
            <w:shd w:val="clear" w:color="auto" w:fill="F2F5FA"/>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tcPr>
          <w:p>
            <w:pPr>
              <w:spacing w:after="20" w:before="20"/>
            </w:pPr>
            <w:r/>
            <w:r>
              <w:rPr>
                <w:sz w:val="16"/>
              </w:rPr>
              <w:t>High</w:t>
            </w:r>
          </w:p>
        </w:tc>
        <w:tc>
          <w:tcPr>
            <w:tcW w:type="dxa" w:w="2268"/>
          </w:tcPr>
          <w:p>
            <w:pPr>
              <w:spacing w:after="20" w:before="20"/>
            </w:pPr>
            <w:r/>
            <w:r>
              <w:rPr>
                <w:sz w:val="16"/>
              </w:rPr>
              <w:t>Missing prices: Classic and Pheenix line</w:t>
            </w:r>
          </w:p>
        </w:tc>
        <w:tc>
          <w:tcPr>
            <w:tcW w:type="dxa" w:w="2948"/>
          </w:tcPr>
          <w:p>
            <w:pPr>
              <w:spacing w:after="20" w:before="20"/>
            </w:pPr>
            <w:r/>
            <w:r>
              <w:rPr>
                <w:sz w:val="16"/>
              </w:rPr>
              <w:t>Two of the largest machine lines have no vendor price; the Classic band is a placeholder</w:t>
            </w:r>
          </w:p>
        </w:tc>
        <w:tc>
          <w:tcPr>
            <w:tcW w:type="dxa" w:w="3515"/>
          </w:tcPr>
          <w:p>
            <w:pPr>
              <w:spacing w:after="20" w:before="20"/>
            </w:pPr>
            <w:r/>
            <w:r>
              <w:rPr>
                <w:sz w:val="16"/>
              </w:rPr>
              <w:t>Newbilt re-quote and Pheenix quote in phase 0; OMS's reference prices as the galvanics benchmark</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Budget fit against 216M THB</w:t>
            </w:r>
          </w:p>
        </w:tc>
        <w:tc>
          <w:tcPr>
            <w:tcW w:type="dxa" w:w="2948"/>
            <w:shd w:val="clear" w:color="auto" w:fill="F2F5FA"/>
          </w:tcPr>
          <w:p>
            <w:pPr>
              <w:spacing w:after="20" w:before="20"/>
            </w:pPr>
            <w:r/>
            <w:r>
              <w:rPr>
                <w:sz w:val="16"/>
              </w:rPr>
              <w:t>Midpoint ~227M is ~11M over; the high end is ~292M</w:t>
            </w:r>
          </w:p>
        </w:tc>
        <w:tc>
          <w:tcPr>
            <w:tcW w:type="dxa" w:w="3515"/>
            <w:shd w:val="clear" w:color="auto" w:fill="F2F5FA"/>
          </w:tcPr>
          <w:p>
            <w:pPr>
              <w:spacing w:after="20" w:before="20"/>
            </w:pPr>
            <w:r/>
            <w:r>
              <w:rPr>
                <w:sz w:val="16"/>
              </w:rPr>
              <w:t>Four levers bring the midpoint to ~203M to 213M with the reserve; four requests settle most of the band; tranche release</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Lease terms and building ownership</w:t>
            </w:r>
          </w:p>
        </w:tc>
        <w:tc>
          <w:tcPr>
            <w:tcW w:type="dxa" w:w="2948"/>
          </w:tcPr>
          <w:p>
            <w:pPr>
              <w:spacing w:after="20" w:before="20"/>
            </w:pPr>
            <w:r/>
            <w:r>
              <w:rPr>
                <w:sz w:val="16"/>
              </w:rPr>
              <w:t>A weak lease makes the building hard to finance and exposes it at expiry</w:t>
            </w:r>
          </w:p>
        </w:tc>
        <w:tc>
          <w:tcPr>
            <w:tcW w:type="dxa" w:w="3515"/>
          </w:tcPr>
          <w:p>
            <w:pPr>
              <w:spacing w:after="20" w:before="20"/>
            </w:pPr>
            <w:r/>
            <w:r>
              <w:rPr>
                <w:sz w:val="16"/>
              </w:rPr>
              <w:t>Registered 30 to 50 year lease with renewal, explicit building ownership and assignment rights; Thai counsel in phase 0</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Soil conditions</w:t>
            </w:r>
          </w:p>
        </w:tc>
        <w:tc>
          <w:tcPr>
            <w:tcW w:type="dxa" w:w="2948"/>
            <w:shd w:val="clear" w:color="auto" w:fill="F2F5FA"/>
          </w:tcPr>
          <w:p>
            <w:pPr>
              <w:spacing w:after="20" w:before="20"/>
            </w:pPr>
            <w:r/>
            <w:r>
              <w:rPr>
                <w:sz w:val="16"/>
              </w:rPr>
              <w:t>Piling could add several hundred to 1,000+ THB/m² across building, paving and fill</w:t>
            </w:r>
          </w:p>
        </w:tc>
        <w:tc>
          <w:tcPr>
            <w:tcW w:type="dxa" w:w="3515"/>
            <w:shd w:val="clear" w:color="auto" w:fill="F2F5FA"/>
          </w:tcPr>
          <w:p>
            <w:pPr>
              <w:spacing w:after="20" w:before="20"/>
            </w:pPr>
            <w:r/>
            <w:r>
              <w:rPr>
                <w:sz w:val="16"/>
              </w:rPr>
              <w:t>Soil boring test in phase 0 (THB 30k to 50k)</w:t>
            </w:r>
          </w:p>
        </w:tc>
      </w:tr>
      <w:tr>
        <w:trPr>
          <w:cantSplit/>
        </w:trPr>
        <w:tc>
          <w:tcPr>
            <w:tcW w:type="dxa" w:w="907"/>
          </w:tcPr>
          <w:p>
            <w:pPr>
              <w:spacing w:after="20" w:before="20"/>
            </w:pPr>
            <w:r/>
            <w:r>
              <w:rPr>
                <w:sz w:val="16"/>
              </w:rPr>
              <w:t>Medium</w:t>
            </w:r>
          </w:p>
        </w:tc>
        <w:tc>
          <w:tcPr>
            <w:tcW w:type="dxa" w:w="2268"/>
          </w:tcPr>
          <w:p>
            <w:pPr>
              <w:spacing w:after="20" w:before="20"/>
            </w:pPr>
            <w:r/>
            <w:r>
              <w:rPr>
                <w:sz w:val="16"/>
              </w:rPr>
              <w:t>Galvanics permitting</w:t>
            </w:r>
          </w:p>
        </w:tc>
        <w:tc>
          <w:tcPr>
            <w:tcW w:type="dxa" w:w="2948"/>
          </w:tcPr>
          <w:p>
            <w:pPr>
              <w:spacing w:after="20" w:before="20"/>
            </w:pPr>
            <w:r/>
            <w:r>
              <w:rPr>
                <w:sz w:val="16"/>
              </w:rPr>
              <w:t>Effluent and hazardous-substance permitting are the most likely regulatory friction, now in the first factory licence</w:t>
            </w:r>
          </w:p>
        </w:tc>
        <w:tc>
          <w:tcPr>
            <w:tcW w:type="dxa" w:w="3515"/>
          </w:tcPr>
          <w:p>
            <w:pPr>
              <w:spacing w:after="20" w:before="20"/>
            </w:pPr>
            <w:r/>
            <w:r>
              <w:rPr>
                <w:sz w:val="16"/>
              </w:rPr>
              <w:t>Zero-discharge design and the water-treatment building from the start; industrial estate option; lessor's consent on Payap land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Utilities fuel choice open</w:t>
            </w:r>
          </w:p>
        </w:tc>
        <w:tc>
          <w:tcPr>
            <w:tcW w:type="dxa" w:w="2948"/>
            <w:shd w:val="clear" w:color="auto" w:fill="F2F5FA"/>
          </w:tcPr>
          <w:p>
            <w:pPr>
              <w:spacing w:after="20" w:before="20"/>
            </w:pPr>
            <w:r/>
            <w:r>
              <w:rPr>
                <w:sz w:val="16"/>
              </w:rPr>
              <w:t>Biomass heat costs a quarter to a tenth of electric steam at reported fuel prices; electric steam needs a larger grid connection, biomass a secured fuel supply</w:t>
            </w:r>
          </w:p>
        </w:tc>
        <w:tc>
          <w:tcPr>
            <w:tcW w:type="dxa" w:w="3515"/>
            <w:shd w:val="clear" w:color="auto" w:fill="F2F5FA"/>
          </w:tcPr>
          <w:p>
            <w:pPr>
              <w:spacing w:after="20" w:before="20"/>
            </w:pPr>
            <w:r/>
            <w:r>
              <w:rPr>
                <w:sz w:val="16"/>
              </w:rPr>
              <w:t>Decide before the boiler request and the grid application; quote electric and fired variants of the same modules</w:t>
            </w:r>
          </w:p>
        </w:tc>
      </w:tr>
      <w:tr>
        <w:trPr>
          <w:cantSplit/>
        </w:trPr>
        <w:tc>
          <w:tcPr>
            <w:tcW w:type="dxa" w:w="907"/>
          </w:tcPr>
          <w:p>
            <w:pPr>
              <w:spacing w:after="20" w:before="20"/>
            </w:pPr>
            <w:r/>
            <w:r>
              <w:rPr>
                <w:sz w:val="16"/>
              </w:rPr>
              <w:t>Medium</w:t>
            </w:r>
          </w:p>
        </w:tc>
        <w:tc>
          <w:tcPr>
            <w:tcW w:type="dxa" w:w="2268"/>
          </w:tcPr>
          <w:p>
            <w:pPr>
              <w:spacing w:after="20" w:before="20"/>
            </w:pPr>
            <w:r/>
            <w:r>
              <w:rPr>
                <w:sz w:val="16"/>
              </w:rPr>
              <w:t>Boiler import compliance (DIW)</w:t>
            </w:r>
          </w:p>
        </w:tc>
        <w:tc>
          <w:tcPr>
            <w:tcW w:type="dxa" w:w="2948"/>
          </w:tcPr>
          <w:p>
            <w:pPr>
              <w:spacing w:after="20" w:before="20"/>
            </w:pPr>
            <w:r/>
            <w:r>
              <w:rPr>
                <w:sz w:val="16"/>
              </w:rPr>
              <w:t>An imported boiler must meet ASME, JIS, EN or equivalent and be verified by a DIW-registered certification body; the modules run above the once-through relief</w:t>
            </w:r>
          </w:p>
        </w:tc>
        <w:tc>
          <w:tcPr>
            <w:tcW w:type="dxa" w:w="3515"/>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Single press vendor (Newbilt)</w:t>
            </w:r>
          </w:p>
        </w:tc>
        <w:tc>
          <w:tcPr>
            <w:tcW w:type="dxa" w:w="2948"/>
            <w:shd w:val="clear" w:color="auto" w:fill="F2F5FA"/>
          </w:tcPr>
          <w:p>
            <w:pPr>
              <w:spacing w:after="20" w:before="20"/>
            </w:pPr>
            <w:r/>
            <w:r>
              <w:rPr>
                <w:sz w:val="16"/>
              </w:rPr>
              <w:t>All three presses, the extruders and the hydraulic aggregates come from one small German manufacturer; build time and order book unknown</w:t>
            </w:r>
          </w:p>
        </w:tc>
        <w:tc>
          <w:tcPr>
            <w:tcW w:type="dxa" w:w="3515"/>
            <w:shd w:val="clear" w:color="auto" w:fill="F2F5FA"/>
          </w:tcPr>
          <w:p>
            <w:pPr>
              <w:spacing w:after="20" w:before="20"/>
            </w:pPr>
            <w:r/>
            <w:r>
              <w:rPr>
                <w:sz w:val="16"/>
              </w:rPr>
              <w:t>Spares and service terms in the re-quote; the Pheenix automatic press stays the comparison if the Classic quote disappoints</w:t>
            </w:r>
          </w:p>
        </w:tc>
      </w:tr>
      <w:tr>
        <w:trPr>
          <w:cantSplit/>
        </w:trPr>
        <w:tc>
          <w:tcPr>
            <w:tcW w:type="dxa" w:w="907"/>
          </w:tcPr>
          <w:p>
            <w:pPr>
              <w:spacing w:after="20" w:before="20"/>
            </w:pPr>
            <w:r/>
            <w:r>
              <w:rPr>
                <w:sz w:val="16"/>
              </w:rPr>
              <w:t>Medium</w:t>
            </w:r>
          </w:p>
        </w:tc>
        <w:tc>
          <w:tcPr>
            <w:tcW w:type="dxa" w:w="2268"/>
          </w:tcPr>
          <w:p>
            <w:pPr>
              <w:spacing w:after="20" w:before="20"/>
            </w:pPr>
            <w:r/>
            <w:r>
              <w:rPr>
                <w:sz w:val="16"/>
              </w:rPr>
              <w:t>Hydraulic ring-main contamination</w:t>
            </w:r>
          </w:p>
        </w:tc>
        <w:tc>
          <w:tcPr>
            <w:tcW w:type="dxa" w:w="2948"/>
          </w:tcPr>
          <w:p>
            <w:pPr>
              <w:spacing w:after="20" w:before="20"/>
            </w:pPr>
            <w:r/>
            <w:r>
              <w:rPr>
                <w:sz w:val="16"/>
              </w:rPr>
              <w:t>One shared oil system: a contamination event reaches every press</w:t>
            </w:r>
          </w:p>
        </w:tc>
        <w:tc>
          <w:tcPr>
            <w:tcW w:type="dxa" w:w="3515"/>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Currency</w:t>
            </w:r>
          </w:p>
        </w:tc>
        <w:tc>
          <w:tcPr>
            <w:tcW w:type="dxa" w:w="2948"/>
            <w:shd w:val="clear" w:color="auto" w:fill="F2F5FA"/>
          </w:tcPr>
          <w:p>
            <w:pPr>
              <w:spacing w:after="20" w:before="20"/>
            </w:pPr>
            <w:r/>
            <w:r>
              <w:rPr>
                <w:sz w:val="16"/>
              </w:rPr>
              <w:t>EUR on Newbilt and Pheenix, USD on Sibert and Sillitoe, THB costs, USD/EUR revenue; a 10 % baht move is worth 0.09 to 0.17 USD per record on margin</w:t>
            </w:r>
          </w:p>
        </w:tc>
        <w:tc>
          <w:tcPr>
            <w:tcW w:type="dxa" w:w="3515"/>
            <w:shd w:val="clear" w:color="auto" w:fill="F2F5FA"/>
          </w:tcPr>
          <w:p>
            <w:pPr>
              <w:spacing w:after="20" w:before="20"/>
            </w:pPr>
            <w:r/>
            <w:r>
              <w:rPr>
                <w:sz w:val="16"/>
              </w:rPr>
              <w:t>Currency and validity in every quote; THB pricing regionally; hedging decision with the investor</w:t>
            </w:r>
          </w:p>
        </w:tc>
      </w:tr>
      <w:tr>
        <w:trPr>
          <w:cantSplit/>
        </w:trPr>
        <w:tc>
          <w:tcPr>
            <w:tcW w:type="dxa" w:w="907"/>
          </w:tcPr>
          <w:p>
            <w:pPr>
              <w:spacing w:after="20" w:before="20"/>
            </w:pPr>
            <w:r/>
            <w:r>
              <w:rPr>
                <w:sz w:val="16"/>
              </w:rPr>
              <w:t>Medium</w:t>
            </w:r>
          </w:p>
        </w:tc>
        <w:tc>
          <w:tcPr>
            <w:tcW w:type="dxa" w:w="2268"/>
          </w:tcPr>
          <w:p>
            <w:pPr>
              <w:spacing w:after="20" w:before="20"/>
            </w:pPr>
            <w:r/>
            <w:r>
              <w:rPr>
                <w:sz w:val="16"/>
              </w:rPr>
              <w:t>Vinyl demand is cyclical</w:t>
            </w:r>
          </w:p>
        </w:tc>
        <w:tc>
          <w:tcPr>
            <w:tcW w:type="dxa" w:w="2948"/>
          </w:tcPr>
          <w:p>
            <w:pPr>
              <w:spacing w:after="20" w:before="20"/>
            </w:pPr>
            <w:r/>
            <w:r>
              <w:rPr>
                <w:sz w:val="16"/>
              </w:rPr>
              <w:t>Global capacity has been added; the model assumes the plant sells what it presses</w:t>
            </w:r>
          </w:p>
        </w:tc>
        <w:tc>
          <w:tcPr>
            <w:tcW w:type="dxa" w:w="3515"/>
          </w:tcPr>
          <w:p>
            <w:pPr>
              <w:spacing w:after="20" w:before="20"/>
            </w:pPr>
            <w:r/>
            <w:r>
              <w:rPr>
                <w:sz w:val="16"/>
              </w:rPr>
              <w:t>Mixed fleet suits boutique work that is less cyclical; cassette and CD-R lines diversify; growth options wait for demand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Reject rate in early production</w:t>
            </w:r>
          </w:p>
        </w:tc>
        <w:tc>
          <w:tcPr>
            <w:tcW w:type="dxa" w:w="2948"/>
            <w:shd w:val="clear" w:color="auto" w:fill="F2F5FA"/>
          </w:tcPr>
          <w:p>
            <w:pPr>
              <w:spacing w:after="20" w:before="20"/>
            </w:pPr>
            <w:r/>
            <w:r>
              <w:rPr>
                <w:sz w:val="16"/>
              </w:rPr>
              <w:t>Early runs, and the first stampers from a new galvanics room, will be worse than the 5 to 10 % allowance while the process settles</w:t>
            </w:r>
          </w:p>
        </w:tc>
        <w:tc>
          <w:tcPr>
            <w:tcW w:type="dxa" w:w="3515"/>
            <w:shd w:val="clear" w:color="auto" w:fill="F2F5FA"/>
          </w:tcPr>
          <w:p>
            <w:pPr>
              <w:spacing w:after="20" w:before="20"/>
            </w:pPr>
            <w:r/>
            <w:r>
              <w:rPr>
                <w:sz w:val="16"/>
              </w:rPr>
              <w:t>Vendor commissioning, stamper metrology, materials lab from day one, QC layers, conservative launch promises; the ramp-up reserve</w:t>
            </w:r>
          </w:p>
        </w:tc>
      </w:tr>
      <w:tr>
        <w:trPr>
          <w:cantSplit/>
        </w:trPr>
        <w:tc>
          <w:tcPr>
            <w:tcW w:type="dxa" w:w="907"/>
          </w:tcPr>
          <w:p>
            <w:pPr>
              <w:spacing w:after="20" w:before="20"/>
            </w:pPr>
            <w:r/>
            <w:r>
              <w:rPr>
                <w:sz w:val="16"/>
              </w:rPr>
              <w:t>Medium</w:t>
            </w:r>
          </w:p>
        </w:tc>
        <w:tc>
          <w:tcPr>
            <w:tcW w:type="dxa" w:w="2268"/>
          </w:tcPr>
          <w:p>
            <w:pPr>
              <w:spacing w:after="20" w:before="20"/>
            </w:pPr>
            <w:r/>
            <w:r>
              <w:rPr>
                <w:sz w:val="16"/>
              </w:rPr>
              <w:t>Competitive response</w:t>
            </w:r>
          </w:p>
        </w:tc>
        <w:tc>
          <w:tcPr>
            <w:tcW w:type="dxa" w:w="2948"/>
          </w:tcPr>
          <w:p>
            <w:pPr>
              <w:spacing w:after="20" w:before="20"/>
            </w:pPr>
            <w:r/>
            <w:r>
              <w:rPr>
                <w:sz w:val="16"/>
              </w:rPr>
              <w:t>The incumbent may add plating, or a second entrant may appear; the domestic price ceiling may compress on our arrival</w:t>
            </w:r>
          </w:p>
        </w:tc>
        <w:tc>
          <w:tcPr>
            <w:tcW w:type="dxa" w:w="3515"/>
          </w:tcPr>
          <w:p>
            <w:pPr>
              <w:spacing w:after="20" w:before="20"/>
            </w:pPr>
            <w:r/>
            <w:r>
              <w:rPr>
                <w:sz w:val="16"/>
              </w:rPr>
              <w:t>Compete on capability (traceability, QC, climate), export customers, and the collaboration under discussion</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Solar and battery integration</w:t>
            </w:r>
          </w:p>
        </w:tc>
        <w:tc>
          <w:tcPr>
            <w:tcW w:type="dxa" w:w="2948"/>
            <w:shd w:val="clear" w:color="auto" w:fill="F2F5FA"/>
          </w:tcPr>
          <w:p>
            <w:pPr>
              <w:spacing w:after="20" w:before="20"/>
            </w:pPr>
            <w:r/>
            <w:r>
              <w:rPr>
                <w:sz w:val="16"/>
              </w:rPr>
              <w:t>Rack voltage vs inverter window; unpublished certifications; mixed-vendor warranty</w:t>
            </w:r>
          </w:p>
        </w:tc>
        <w:tc>
          <w:tcPr>
            <w:tcW w:type="dxa" w:w="3515"/>
            <w:shd w:val="clear" w:color="auto" w:fill="F2F5FA"/>
          </w:tcPr>
          <w:p>
            <w:pPr>
              <w:spacing w:after="20" w:before="20"/>
            </w:pPr>
            <w:r/>
            <w:r>
              <w:rPr>
                <w:sz w:val="16"/>
              </w:rPr>
              <w:t>Engineering checks and certificate requests in phase 0, or a PPA that moves it to the installer; large float</w:t>
            </w:r>
          </w:p>
        </w:tc>
      </w:tr>
      <w:tr>
        <w:trPr>
          <w:cantSplit/>
        </w:trPr>
        <w:tc>
          <w:tcPr>
            <w:tcW w:type="dxa" w:w="907"/>
          </w:tcPr>
          <w:p>
            <w:pPr>
              <w:spacing w:after="20" w:before="20"/>
            </w:pPr>
            <w:r/>
            <w:r>
              <w:rPr>
                <w:sz w:val="16"/>
              </w:rPr>
              <w:t>Low</w:t>
            </w:r>
          </w:p>
        </w:tc>
        <w:tc>
          <w:tcPr>
            <w:tcW w:type="dxa" w:w="2268"/>
          </w:tcPr>
          <w:p>
            <w:pPr>
              <w:spacing w:after="20" w:before="20"/>
            </w:pPr>
            <w:r/>
            <w:r>
              <w:rPr>
                <w:sz w:val="16"/>
              </w:rPr>
              <w:t>Cassette supply chain</w:t>
            </w:r>
          </w:p>
        </w:tc>
        <w:tc>
          <w:tcPr>
            <w:tcW w:type="dxa" w:w="2948"/>
          </w:tcPr>
          <w:p>
            <w:pPr>
              <w:spacing w:after="20" w:before="20"/>
            </w:pPr>
            <w:r/>
            <w:r>
              <w:rPr>
                <w:sz w:val="16"/>
              </w:rPr>
              <w:t>Blank tape and shells come from few suppliers</w:t>
            </w:r>
          </w:p>
        </w:tc>
        <w:tc>
          <w:tcPr>
            <w:tcW w:type="dxa" w:w="3515"/>
          </w:tcPr>
          <w:p>
            <w:pPr>
              <w:spacing w:after="20" w:before="20"/>
            </w:pPr>
            <w:r/>
            <w:r>
              <w:rPr>
                <w:sz w:val="16"/>
              </w:rPr>
              <w:t>Hold stock; qualify two sources</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CD replication scope creep</w:t>
            </w:r>
          </w:p>
        </w:tc>
        <w:tc>
          <w:tcPr>
            <w:tcW w:type="dxa" w:w="2948"/>
            <w:shd w:val="clear" w:color="auto" w:fill="F2F5FA"/>
          </w:tcPr>
          <w:p>
            <w:pPr>
              <w:spacing w:after="20" w:before="20"/>
            </w:pPr>
            <w:r/>
            <w:r>
              <w:rPr>
                <w:sz w:val="16"/>
              </w:rPr>
              <w:t>Adds USD 1.5M to 4.0M and a second commissioning programme</w:t>
            </w:r>
          </w:p>
        </w:tc>
        <w:tc>
          <w:tcPr>
            <w:tcW w:type="dxa" w:w="3515"/>
            <w:shd w:val="clear" w:color="auto" w:fill="F2F5FA"/>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3.50 to 4.60 USD blended price,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a solar PPA affects the solar measure;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Largest unpriced block</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Thai suppliers; Chinese boiler makers (ZOZEN, Sitong, Fangkuai, Taiguo; 1.25 MPa, ASME S stamp, electric and fired variants); compressors from Kaishan and Denair's Thai offices;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next to the purchase quote;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launch-plant total),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the launch plant at a </w:t>
            </w:r>
            <w:r>
              <w:rPr>
                <w:b/>
                <w:sz w:val="19"/>
              </w:rPr>
              <w:t>target of ~216M THB</w:t>
            </w:r>
            <w:r>
              <w:rPr>
                <w:sz w:val="19"/>
              </w:rPr>
              <w:t>, released in the tranches of section 8.3, with the financing mix set to hold debt-to-equity at or below 3:1. Told plainly: at the midpoint, 216M holds with the four levers and the ramp-up reserve inside it; 180M holds only if the open quotes land low, because even the levers plus scope cuts (cassette and CD-R later, a rented crane) leave ~185M before the reserve. Until the four requests are back, the honest range is ~161M to 292M THB.</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CD replication, yes or no, before the BOI application is finalised; the steam fuel (electric or biomass); which levers to take (solar PPA, metrology launch tier, visitor corridor later);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presses, estimate), further Classics, the rest of the metrology stack,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negotiated lease; a buyer-side price data point; the investor's CD and fuel decisions;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the investor's 180M THB question and the levers; the superseded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Press fleet calculator: target output and specials share to the Duplex/Classic mix, people, utilities and the operating picture</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w:t>
            </w:r>
          </w:p>
        </w:tc>
        <w:tc>
          <w:tcPr>
            <w:tcW w:type="dxa" w:w="6123"/>
            <w:shd w:val="clear" w:color="auto" w:fill="F2F5FA"/>
          </w:tcPr>
          <w:p>
            <w:pPr>
              <w:spacing w:after="20" w:before="20"/>
            </w:pPr>
            <w:r/>
            <w:r>
              <w:rPr>
                <w:sz w:val="17"/>
              </w:rPr>
              <w:t>Data platform: ERPNext as the only system of record, machine data, the factory application, the NixOS fleet</w:t>
            </w:r>
          </w:p>
        </w:tc>
      </w:tr>
      <w:tr>
        <w:trPr>
          <w:cantSplit/>
        </w:trPr>
        <w:tc>
          <w:tcPr>
            <w:tcW w:type="dxa" w:w="3515"/>
          </w:tcPr>
          <w:p>
            <w:pPr>
              <w:spacing w:after="20" w:before="20"/>
            </w:pPr>
            <w:r/>
            <w:r>
              <w:rPr>
                <w:sz w:val="17"/>
              </w:rPr>
              <w:t>artist-platform.md (demos artist-order.html, make-a-record.html)</w:t>
            </w:r>
          </w:p>
        </w:tc>
        <w:tc>
          <w:tcPr>
            <w:tcW w:type="dxa" w:w="6123"/>
          </w:tcPr>
          <w:p>
            <w:pPr>
              <w:spacing w:after="20" w:before="20"/>
            </w:pPr>
            <w:r/>
            <w:r>
              <w:rPr>
                <w:sz w:val="17"/>
              </w:rPr>
              <w:t>Upload and itemised price calculator, fan-funded campaigns</w:t>
            </w:r>
          </w:p>
        </w:tc>
      </w:tr>
      <w:tr>
        <w:trPr>
          <w:cantSplit/>
        </w:trPr>
        <w:tc>
          <w:tcPr>
            <w:tcW w:type="dxa" w:w="3515"/>
            <w:shd w:val="clear" w:color="auto" w:fill="F2F5FA"/>
          </w:tcPr>
          <w:p>
            <w:pPr>
              <w:spacing w:after="20" w:before="20"/>
            </w:pPr>
            <w:r/>
            <w:r>
              <w:rPr>
                <w:sz w:val="17"/>
              </w:rPr>
              <w:t>process-flow.md, production-timeline.md</w:t>
            </w:r>
          </w:p>
        </w:tc>
        <w:tc>
          <w:tcPr>
            <w:tcW w:type="dxa" w:w="6123"/>
            <w:shd w:val="clear" w:color="auto" w:fill="F2F5FA"/>
          </w:tcPr>
          <w:p>
            <w:pPr>
              <w:spacing w:after="20" w:before="20"/>
            </w:pPr>
            <w:r/>
            <w:r>
              <w:rPr>
                <w:sz w:val="17"/>
              </w:rPr>
              <w:t>The chain and its checks; order turnaround stage by stage, lead times and the repress path</w:t>
            </w:r>
          </w:p>
        </w:tc>
      </w:tr>
      <w:tr>
        <w:trPr>
          <w:cantSplit/>
        </w:trPr>
        <w:tc>
          <w:tcPr>
            <w:tcW w:type="dxa" w:w="3515"/>
          </w:tcPr>
          <w:p>
            <w:pPr>
              <w:spacing w:after="20" w:before="20"/>
            </w:pPr>
            <w:r/>
            <w:r>
              <w:rPr>
                <w:sz w:val="17"/>
              </w:rPr>
              <w:t>traceability.md, quality-automation.md</w:t>
            </w:r>
          </w:p>
        </w:tc>
        <w:tc>
          <w:tcPr>
            <w:tcW w:type="dxa" w:w="6123"/>
          </w:tcPr>
          <w:p>
            <w:pPr>
              <w:spacing w:after="20" w:before="20"/>
            </w:pPr>
            <w:r/>
            <w:r>
              <w:rPr>
                <w:sz w:val="17"/>
              </w:rPr>
              <w:t>The traceability specification; metrology, layered record QC, the materials lab</w:t>
            </w:r>
          </w:p>
        </w:tc>
      </w:tr>
      <w:tr>
        <w:trPr>
          <w:cantSplit/>
        </w:trPr>
        <w:tc>
          <w:tcPr>
            <w:tcW w:type="dxa" w:w="3515"/>
            <w:shd w:val="clear" w:color="auto" w:fill="F2F5FA"/>
          </w:tcPr>
          <w:p>
            <w:pPr>
              <w:spacing w:after="20" w:before="20"/>
            </w:pPr>
            <w:r/>
            <w:r>
              <w:rPr>
                <w:sz w:val="17"/>
              </w:rPr>
              <w:t>sustainability.md, biomass.md, steam-cooling.html</w:t>
            </w:r>
          </w:p>
        </w:tc>
        <w:tc>
          <w:tcPr>
            <w:tcW w:type="dxa" w:w="6123"/>
            <w:shd w:val="clear" w:color="auto" w:fill="F2F5FA"/>
          </w:tcPr>
          <w:p>
            <w:pPr>
              <w:spacing w:after="20" w:before="20"/>
            </w:pPr>
            <w:r/>
            <w:r>
              <w:rPr>
                <w:sz w:val="17"/>
              </w:rPr>
              <w:t>Solar, heat recovery, water, zero discharge, the grid tariff; the biomass fuel strategy; the steam and cooling plant</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and their renders</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draft 0.2,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