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0.1, September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operating pressing shop in Thailand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pPr>
        <w:pStyle w:val="Heading2"/>
      </w:pPr>
      <w:r>
        <w:t>What we will build</w:t>
      </w:r>
    </w:p>
    <w:p>
      <w:pPr>
        <w:pStyle w:val="ListBullet"/>
      </w:pPr>
      <w:r>
        <w:rPr>
          <w:b/>
        </w:rPr>
        <w:t>The complete vinyl chain under one roof:</w:t>
      </w:r>
      <w:r>
        <w:rPr/>
        <w:t xml:space="preserve"> mastering, lacquer cutting, galvanics (making the nickel stampers), pressing, finishing, packaging with our Chiang Mai print partner Ploy Printing, and fulfilment including direct-to-fan dropshipping.</w:t>
      </w:r>
    </w:p>
    <w:p>
      <w:pPr>
        <w:pStyle w:val="ListBullet"/>
      </w:pPr>
      <w:r>
        <w:rPr>
          <w:b/>
        </w:rPr>
        <w:t>A mixed press fleet:</w:t>
      </w:r>
      <w:r>
        <w:rPr/>
        <w:t xml:space="preserve"> semi-automatic presses for colour, splatter and short runs, fully automatic presses for volume. Launch with one semi-automatic line (90,000 to 135,000 records a year); grow to four presses (1.0 to 1.5 million records a year).</w:t>
      </w:r>
    </w:p>
    <w:p>
      <w:pPr>
        <w:pStyle w:val="ListBullet"/>
      </w:pPr>
      <w:r>
        <w:rPr>
          <w:b/>
        </w:rPr>
        <w:t>Cassette duplication in-house</w:t>
      </w:r>
      <w:r>
        <w:rPr/>
        <w:t xml:space="preserve"> and </w:t>
      </w:r>
      <w:r>
        <w:rPr>
          <w:b/>
        </w:rPr>
        <w:t>short-run CD duplication</w:t>
      </w:r>
      <w:r>
        <w:rPr/>
        <w:t xml:space="preserve"> from launch. Full CD replication (injection-moulded discs) is a separate, much larger decision; both CD options are priced in section 4.9 for the investor to decide.</w:t>
      </w:r>
    </w:p>
    <w:p>
      <w:pPr>
        <w:pStyle w:val="ListBullet"/>
      </w:pPr>
      <w:r>
        <w:rPr>
          <w:b/>
        </w:rPr>
        <w:t>A purpose-built 1,500 m² plant on long-term leased land</w:t>
      </w:r>
      <w:r>
        <w:rPr/>
        <w:t>, with a detached utility yard, a rooftop solar array, and room for a second building. The land is now planned as a registered long lease rather than a purchase, which lowers upfront capital by roughly USD 0.4 to 1.0 million.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customer sees their order's full chain; a complaint resolves to one stamper, one press, one shift and one material lot. Machine data comes from the machines, not from paperwork.</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(the presses' own 60 °C cooling return pre-heats the boiler feedwater), ~290 kWp of rooftop solar at phase 1 grows to ~500 kWp with the second building, a 271 kWh battery shaves peaks, cooling runs as a closed loop, no process water is discharged, and 20% of the feedstock is in-house regrind. One operator runs up to four automatic presses.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incumbent has neither control.</w:t>
      </w:r>
    </w:p>
    <w:p>
      <w:pPr>
        <w:pStyle w:val="Heading2"/>
      </w:pPr>
      <w:r>
        <w:t>The numbers</w:t>
      </w:r>
    </w:p>
    <w:tbl>
      <w:tblPr>
        <w:tblStyle w:val="TableGrid"/>
        <w:tblW w:type="auto" w:w="0"/>
        <w:jc w:val="center"/>
        <w:tblLook w:firstColumn="1" w:firstRow="1" w:lastColumn="0" w:lastRow="0" w:noHBand="0" w:noVBand="1" w:val="04A0"/>
      </w:tblPr>
      <w:tblGrid>
        <w:gridCol w:w="4819"/>
        <w:gridCol w:w="4819"/>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~90k to 135k records/yr (1 semi-automatic line, 1 shift); mature ~1.0M to 1.5M records/yr (2 semi-automatic + 2 automatic presses, 2 shifts)</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~180 m² utility yard on ~5 to 8 rai of leased land; second 1,710 m² building as expansion</w:t>
            </w:r>
          </w:p>
        </w:tc>
      </w:tr>
      <w:tr>
        <w:trPr>
          <w:cantSplit/>
        </w:trPr>
        <w:tc>
          <w:tcPr>
            <w:tcW w:type="dxa" w:w="2835"/>
            <w:shd w:val="clear" w:color="auto" w:fill="F2F5FA"/>
          </w:tcPr>
          <w:p>
            <w:pPr>
              <w:spacing w:after="20" w:before="20"/>
            </w:pPr>
            <w:r>
              <w:rPr>
                <w:b/>
              </w:rPr>
            </w:r>
            <w:r>
              <w:rPr>
                <w:b/>
                <w:sz w:val="19"/>
              </w:rPr>
              <w:t>Investment, full vision</w:t>
            </w:r>
          </w:p>
        </w:tc>
        <w:tc>
          <w:tcPr>
            <w:tcW w:type="dxa" w:w="6520"/>
          </w:tcPr>
          <w:p>
            <w:pPr>
              <w:spacing w:after="20" w:before="20"/>
            </w:pPr>
            <w:r/>
            <w:r>
              <w:rPr>
                <w:sz w:val="19"/>
              </w:rPr>
              <w:t>~USD 4.4M to 8.0M (~THB 144M to 264M) including 15% contingency (was 4.7M to 8.9M before the decision to lease the land)</w:t>
            </w:r>
          </w:p>
        </w:tc>
      </w:tr>
      <w:tr>
        <w:trPr>
          <w:cantSplit/>
        </w:trPr>
        <w:tc>
          <w:tcPr>
            <w:tcW w:type="dxa" w:w="2835"/>
            <w:shd w:val="clear" w:color="auto" w:fill="F2F5FA"/>
          </w:tcPr>
          <w:p>
            <w:pPr>
              <w:spacing w:after="20" w:before="20"/>
            </w:pPr>
            <w:r>
              <w:rPr>
                <w:b/>
              </w:rPr>
            </w:r>
            <w:r>
              <w:rPr>
                <w:b/>
                <w:sz w:val="19"/>
              </w:rPr>
              <w:t>Investment, phase 1 launch</w:t>
            </w:r>
          </w:p>
        </w:tc>
        <w:tc>
          <w:tcPr>
            <w:tcW w:type="dxa" w:w="6520"/>
          </w:tcPr>
          <w:p>
            <w:pPr>
              <w:spacing w:after="20" w:before="20"/>
            </w:pPr>
            <w:r/>
            <w:r>
              <w:rPr>
                <w:sz w:val="19"/>
              </w:rPr>
              <w:t>~USD 2.2M to 3.9M (~THB 73M to 128M) including the building, one press line, climate control, rooftop solar, cassette and CD-R lines, working capital and contingency</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Estimated THB 0.3M to 1.0M per year (USD 9k to 30k), to be replaced by the negotiated figure</w:t>
            </w:r>
          </w:p>
        </w:tc>
      </w:tr>
      <w:tr>
        <w:trPr>
          <w:cantSplit/>
        </w:trPr>
        <w:tc>
          <w:tcPr>
            <w:tcW w:type="dxa" w:w="2835"/>
            <w:shd w:val="clear" w:color="auto" w:fill="F2F5FA"/>
          </w:tcPr>
          <w:p>
            <w:pPr>
              <w:spacing w:after="20" w:before="20"/>
            </w:pPr>
            <w:r>
              <w:rPr>
                <w:b/>
              </w:rPr>
            </w:r>
            <w:r>
              <w:rPr>
                <w:b/>
                <w:sz w:val="19"/>
              </w:rPr>
              <w:t>Revenue at maturity</w:t>
            </w:r>
          </w:p>
        </w:tc>
        <w:tc>
          <w:tcPr>
            <w:tcW w:type="dxa" w:w="6520"/>
          </w:tcPr>
          <w:p>
            <w:pPr>
              <w:spacing w:after="20" w:before="20"/>
            </w:pPr>
            <w:r/>
            <w:r>
              <w:rPr>
                <w:sz w:val="19"/>
              </w:rPr>
              <w:t>~USD 3.7M to 6.8M per year (~THB 122M to 224M)</w:t>
            </w:r>
          </w:p>
        </w:tc>
      </w:tr>
      <w:tr>
        <w:trPr>
          <w:cantSplit/>
        </w:trPr>
        <w:tc>
          <w:tcPr>
            <w:tcW w:type="dxa" w:w="2835"/>
            <w:shd w:val="clear" w:color="auto" w:fill="F2F5FA"/>
          </w:tcPr>
          <w:p>
            <w:pPr>
              <w:spacing w:after="20" w:before="20"/>
            </w:pPr>
            <w:r>
              <w:rPr>
                <w:b/>
              </w:rPr>
            </w:r>
            <w:r>
              <w:rPr>
                <w:b/>
                <w:sz w:val="19"/>
              </w:rPr>
              <w:t>Operating result at maturity</w:t>
            </w:r>
          </w:p>
        </w:tc>
        <w:tc>
          <w:tcPr>
            <w:tcW w:type="dxa" w:w="6520"/>
          </w:tcPr>
          <w:p>
            <w:pPr>
              <w:spacing w:after="20" w:before="20"/>
            </w:pPr>
            <w:r/>
            <w:r>
              <w:rPr>
                <w:sz w:val="19"/>
              </w:rPr>
              <w:t>Central case EBITDA ~USD 2.6M, operating profit ~USD 2.0M, payback 2 to 4 years. Adverse case is EBITDA-positive but does not cover depreciation. Utilisation and price realisation decide the outcome, not upside.</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sz w:val="19"/>
              </w:rPr>
              <w:t>Q4 2028 to mid-2029 if the gates below start now; one regulatory question (ordering machinery before the BOI certificate) could pull that forward by 6 to 9 months</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at maturity across shifts, fewer than half that at launch</w:t>
            </w:r>
          </w:p>
        </w:tc>
      </w:tr>
    </w:tbl>
    <w:p>
      <w:pPr>
        <w:spacing w:after="40"/>
      </w:pPr>
    </w:p>
    <w:p>
      <w:pPr>
        <w:pStyle w:val="Heading2"/>
      </w:pPr>
      <w:r>
        <w:t>Where we are, and what we ask</w:t>
      </w:r>
    </w:p>
    <w:p>
      <w:r>
        <w:rPr/>
        <w:t>The project is at the planning stage. Industry outreach has run for several years; vendor quotes exist for the pressing line, utilities have been costed with Thai suppliers, a parametric building model has produced quantities for a construction price request, and a candidate parcel in Mueang Chi, Lamphun has been tested against the design. Nothing has been ordered.</w:t>
      </w:r>
    </w:p>
    <w:p>
      <w:r>
        <w:rPr/>
        <w:t xml:space="preserve">Three gates run now and in parallel: </w:t>
      </w:r>
      <w:r>
        <w:rPr>
          <w:b/>
        </w:rPr>
        <w:t>market validation</w:t>
      </w:r>
      <w:r>
        <w:rPr/>
        <w:t xml:space="preserve"> with regional labels and at the Making Vinyl trade show in Haarlem (autumn 2026); the </w:t>
      </w:r>
      <w:r>
        <w:rPr>
          <w:b/>
        </w:rPr>
        <w:t>BOI investment promotion</w:t>
      </w:r>
      <w:r>
        <w:rPr/>
        <w:t xml:space="preserve"> track with a registered consultant; and </w:t>
      </w:r>
      <w:r>
        <w:rPr>
          <w:b/>
        </w:rPr>
        <w:t>land</w:t>
      </w:r>
      <w:r>
        <w:rPr/>
        <w:t>: zoning verification,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w:t>
            </w:r>
            <w:r>
              <w:rPr>
                <w:sz w:val="20"/>
              </w:rPr>
              <w:t xml:space="preserve"> for the BOI consultant, Thai legal work on the lease and zoning, a soil boring test, the trade-show trip, firm re-quotes from the press, galvanics and building vendors, and optional specialist consultancy.</w:t>
            </w:r>
          </w:p>
          <w:p>
            <w:pPr>
              <w:spacing w:after="60"/>
              <w:ind w:left="227"/>
            </w:pPr>
            <w:r>
              <w:rPr>
                <w:sz w:val="20"/>
              </w:rPr>
              <w:t xml:space="preserve">•  </w:t>
            </w:r>
            <w:r>
              <w:rPr>
                <w:b/>
                <w:sz w:val="20"/>
              </w:rPr>
              <w:t>Phase 1 (commitment after the BOI certificate and validated pricing): ~USD 2.2M to 3.9M</w:t>
            </w:r>
            <w:r>
              <w:rPr>
                <w:sz w:val="20"/>
              </w:rPr>
              <w:t xml:space="preserve"> released in tranches against milestones: lease signed, press order, building contract, fit-out, commissioning.</w:t>
            </w:r>
          </w:p>
          <w:p>
            <w:pPr>
              <w:spacing w:after="60"/>
              <w:ind w:left="227"/>
            </w:pPr>
            <w:r>
              <w:rPr>
                <w:sz w:val="20"/>
              </w:rPr>
              <w:t xml:space="preserve">•  </w:t>
            </w:r>
            <w:r>
              <w:rPr>
                <w:b/>
                <w:sz w:val="20"/>
              </w:rPr>
              <w:t>Decisions needed from the investor:</w:t>
            </w:r>
            <w:r>
              <w:rPr>
                <w:sz w:val="20"/>
              </w:rPr>
              <w:t xml:space="preserve"> CD scope (duplication only, or full replication), whether galvanics moves into phase 1, and the equity/debt mix (BOI requires debt-to-equity of at most 3:1).</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Quotes may have expired and need re-confirmation.</w:t>
            </w:r>
          </w:p>
        </w:tc>
        <w:tc>
          <w:tcPr>
            <w:tcW w:type="dxa" w:w="4422"/>
          </w:tcPr>
          <w:p>
            <w:pPr>
              <w:spacing w:after="20" w:before="20"/>
            </w:pPr>
            <w:r/>
            <w:r>
              <w:rPr>
                <w:sz w:val="18"/>
              </w:rPr>
              <w:t>Newbilt pressing line (EUR 200,500, June 2024); Newbilt service rates; Gobel battery list price</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Thai utility supplier ranges; Pheenix AD12 datasheet; domestic pressing prices, August 2026;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galvanics line; mastering room;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automatic presses, the galvanics line, the mastering room or the building.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labelled,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There is no industrial-grade, climate-controlled, full-service plant in the region. That is the gap. It is also the plan's biggest assumption: that enough regional customers will pay for a closer, faster, more accountable plant at a price that works. That pricing power is unproven and the market validation gate exists to test it before capital is committed.</w:t>
      </w:r>
    </w:p>
    <w:p>
      <w:pPr>
        <w:pStyle w:val="Heading2"/>
      </w:pPr>
      <w:r>
        <w:t>3.3 What the Thai market shows: one real data point</w:t>
      </w:r>
    </w:p>
    <w:p>
      <w:r>
        <w:rPr/>
        <w:t>In August 2026 the team compared real invoices from the one operating pressing shop in Thailand, ResurRec in Bangkok (with whom a collaboration is also under discussion), and toured its plant. This is one buyer, one plant, one afternoon, and it is deliberately not used to re-base the financial model. But it is the only real market evidence so far, and it points in a useful direction.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incumbent operates from a small non-industrial premises; it does not plate (stampers are bought in from abroad and resold); there is no temperature, humidity or particulate control on the pressing floor; and it runs two Newbilt presses, one fully automatic and one semi-automatic, which is a real capital fleet that on paper out-presses our launch configuration two to three times over.</w:t>
      </w:r>
    </w:p>
    <w:p>
      <w:r>
        <w:rPr/>
        <w:t>Four readings follow, each with its caveat:</w:t>
      </w:r>
    </w:p>
    <w:p>
      <w:pPr>
        <w:pStyle w:val="ListBullet"/>
      </w:pPr>
      <w:r>
        <w:rPr>
          <w:b/>
        </w:rPr>
        <w:t>Domestic willingness to pay is higher than our model assumes.</w:t>
      </w:r>
      <w:r>
        <w:rPr/>
        <w:t xml:space="preserve"> The plan prices a record at USD 3.50 to 4.60 blended (Western export benchmark). The Thai market pays 535 to 780 THB on a comparable scope, several times more, even after allowing 100 to 150 THB for the jacket. The caveat: a sole domestic supplier can hold an import-parity price that a second entrant compresses. We kept the conservative price until a second data point exists.</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repress in days from an archived mother, and short runs. A stamper-supply relationship with the incumbent is a plausible early revenue line for the galvanics room and is under discussion.</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 4.8 and 4.9 lay out both formats and the two very different CD routes.</w:t>
      </w:r>
    </w:p>
    <w:p>
      <w:pPr>
        <w:pStyle w:val="Heading1"/>
      </w:pPr>
      <w:r>
        <w:t>4. Anatomy of a top-notch plant: the full chain</w:t>
      </w:r>
    </w:p>
    <w:p>
      <w:r>
        <w:rPr/>
        <w:t>The chain from audio file to delivered record has nine stages and three points where the artist or label must approve before work continues. Every stage writes to the traceability database,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94178"/>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94178"/>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Agnew Analog Type 612 lathe and Type 602 head, in-house at maturity; brokered through a European partner at launch</w:t>
            </w:r>
          </w:p>
        </w:tc>
        <w:tc>
          <w:tcPr>
            <w:tcW w:type="dxa" w:w="1701"/>
          </w:tcPr>
          <w:p>
            <w:pPr>
              <w:spacing w:after="20" w:before="20"/>
            </w:pPr>
            <w:r/>
            <w:r>
              <w:rPr>
                <w:sz w:val="17"/>
              </w:rPr>
              <w:t>Phase 5 (earlier if demand shows)</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 in days and short runs</w:t>
            </w:r>
          </w:p>
        </w:tc>
        <w:tc>
          <w:tcPr>
            <w:tcW w:type="dxa" w:w="3118"/>
            <w:shd w:val="clear" w:color="auto" w:fill="F2F5FA"/>
          </w:tcPr>
          <w:p>
            <w:pPr>
              <w:spacing w:after="20" w:before="20"/>
            </w:pPr>
            <w:r/>
            <w:r>
              <w:rPr>
                <w:sz w:val="17"/>
              </w:rPr>
              <w:t>Digital Matrix plating line, clean room, evaporator-based water recycling</w:t>
            </w:r>
          </w:p>
        </w:tc>
        <w:tc>
          <w:tcPr>
            <w:tcW w:type="dxa" w:w="1701"/>
            <w:shd w:val="clear" w:color="auto" w:fill="F2F5FA"/>
          </w:tcPr>
          <w:p>
            <w:pPr>
              <w:spacing w:after="20" w:before="20"/>
            </w:pPr>
            <w:r/>
            <w:r>
              <w:rPr>
                <w:sz w:val="17"/>
              </w:rPr>
              <w:t>Phase 5; case for moving to phase 1 under review</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punch, back-finisher, coiner</w:t>
            </w:r>
          </w:p>
        </w:tc>
        <w:tc>
          <w:tcPr>
            <w:tcW w:type="dxa" w:w="1701"/>
          </w:tcPr>
          <w:p>
            <w:pPr>
              <w:spacing w:after="20" w:before="20"/>
            </w:pPr>
            <w:r/>
            <w:r>
              <w:rPr>
                <w:sz w:val="17"/>
              </w:rPr>
              <w:t>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Automatic for volume, semi-automatic for colour and short runs</w:t>
            </w:r>
          </w:p>
        </w:tc>
        <w:tc>
          <w:tcPr>
            <w:tcW w:type="dxa" w:w="3118"/>
            <w:shd w:val="clear" w:color="auto" w:fill="F2F5FA"/>
          </w:tcPr>
          <w:p>
            <w:pPr>
              <w:spacing w:after="20" w:before="20"/>
            </w:pPr>
            <w:r/>
            <w:r>
              <w:rPr>
                <w:sz w:val="17"/>
              </w:rPr>
              <w:t>Newbilt Single growing to Duplex; two automatic presses (Pheenix AD12 or Newbilt Classic)</w:t>
            </w:r>
          </w:p>
        </w:tc>
        <w:tc>
          <w:tcPr>
            <w:tcW w:type="dxa" w:w="1701"/>
            <w:shd w:val="clear" w:color="auto" w:fill="F2F5FA"/>
          </w:tcPr>
          <w:p>
            <w:pPr>
              <w:spacing w:after="20" w:before="20"/>
            </w:pPr>
            <w:r/>
            <w:r>
              <w:rPr>
                <w:sz w:val="17"/>
              </w:rPr>
              <w:t>Phase 1, then 5</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Thai-sourced packages with heat recovery designed in</w:t>
            </w:r>
          </w:p>
        </w:tc>
        <w:tc>
          <w:tcPr>
            <w:tcW w:type="dxa" w:w="1701"/>
          </w:tcPr>
          <w:p>
            <w:pPr>
              <w:spacing w:after="20" w:before="20"/>
            </w:pPr>
            <w:r/>
            <w:r>
              <w:rPr>
                <w:sz w:val="17"/>
              </w:rPr>
              <w:t>Phase 1</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F7 to F9 filtration, HEPA in tight zones</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Phase 5; basic at launch</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Basic at phase 1, full at phase 5</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Batch genealogy database, PLC data capture, customer portal</w:t>
            </w:r>
          </w:p>
        </w:tc>
        <w:tc>
          <w:tcPr>
            <w:tcW w:type="dxa" w:w="1701"/>
          </w:tcPr>
          <w:p>
            <w:pPr>
              <w:spacing w:after="20" w:before="20"/>
            </w:pPr>
            <w:r/>
            <w:r>
              <w:rPr>
                <w:sz w:val="17"/>
              </w:rPr>
              <w:t>Phase 1 (v1)</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Phase 1</w:t>
            </w:r>
          </w:p>
        </w:tc>
      </w:tr>
      <w:tr>
        <w:trPr>
          <w:cantSplit/>
        </w:trPr>
        <w:tc>
          <w:tcPr>
            <w:tcW w:type="dxa" w:w="2268"/>
            <w:shd w:val="clear" w:color="auto" w:fill="F2F5FA"/>
          </w:tcPr>
          <w:p>
            <w:pPr>
              <w:spacing w:after="20" w:before="20"/>
            </w:pPr>
            <w:r/>
            <w:r>
              <w:rPr>
                <w:sz w:val="17"/>
              </w:rPr>
              <w:t>An archive for masters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Fire-rated, climate-controlled room with clean-agent suppression</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~290 kWp PV, 271 kWh battery, closed cooling loop, zero process discharge</w:t>
            </w:r>
          </w:p>
        </w:tc>
        <w:tc>
          <w:tcPr>
            <w:tcW w:type="dxa" w:w="1701"/>
          </w:tcPr>
          <w:p>
            <w:pPr>
              <w:spacing w:after="20" w:before="20"/>
            </w:pPr>
            <w:r/>
            <w:r>
              <w:rPr>
                <w:sz w:val="17"/>
              </w:rPr>
              <w:t>Phase 1 to 2</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Cassette and CD lines</w:t>
            </w:r>
          </w:p>
        </w:tc>
        <w:tc>
          <w:tcPr>
            <w:tcW w:type="dxa" w:w="2551"/>
          </w:tcPr>
          <w:p>
            <w:pPr>
              <w:spacing w:after="20" w:before="20"/>
            </w:pPr>
            <w:r/>
            <w:r>
              <w:rPr>
                <w:sz w:val="17"/>
              </w:rPr>
              <w:t>Same customers, one order, one shipment</w:t>
            </w:r>
          </w:p>
        </w:tc>
        <w:tc>
          <w:tcPr>
            <w:tcW w:type="dxa" w:w="3118"/>
          </w:tcPr>
          <w:p>
            <w:pPr>
              <w:spacing w:after="20" w:before="20"/>
            </w:pPr>
            <w:r/>
            <w:r>
              <w:rPr>
                <w:sz w:val="17"/>
              </w:rPr>
              <w:t>In-house cassette duplication; CD-R duplication; CD replication as a separate option</w:t>
            </w:r>
          </w:p>
        </w:tc>
        <w:tc>
          <w:tcPr>
            <w:tcW w:type="dxa" w:w="1701"/>
          </w:tcPr>
          <w:p>
            <w:pPr>
              <w:spacing w:after="20" w:before="20"/>
            </w:pPr>
            <w:r/>
            <w:r>
              <w:rPr>
                <w:sz w:val="17"/>
              </w:rPr>
              <w:t>Phase 1 (replication if chosen: phase 2)</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w:t>
      </w:r>
    </w:p>
    <w:p>
      <w:r>
        <w:rPr>
          <w:b/>
        </w:rPr>
        <w:t>What it needs.</w:t>
      </w:r>
      <w:r>
        <w:rPr/>
        <w:t xml:space="preserve"> A disk mastering lathe and stereo cutter head, matched cutting amplifiers, a mastering console and chain, a preview and pitch automation system, vacuum for platter hold-down and chip suction, a groove inspection microscope, and a low-vibration, temperature-controlled room away from the presses and compressor. Consumables are lacquer blanks and styli.</w:t>
      </w:r>
    </w:p>
    <w:p>
      <w:r>
        <w:rPr>
          <w:b/>
        </w:rPr>
        <w:t>Who supplies it.</w:t>
      </w:r>
      <w:r>
        <w:rPr/>
        <w:t xml:space="preserve"> Agnew Analog Reference Instruments (Greece) builds the Type 612 lathe, unveiled in 2023 and billed as the first all-new lacquer lathe since the 1960s, with the Type 602 cutter head; bespoke, low-volume manufacturing with long build times. Cutter amplifiers, console, preview automation and lacquer supply are open items.</w:t>
      </w:r>
    </w:p>
    <w:p>
      <w:r>
        <w:rPr>
          <w:b/>
        </w:rPr>
        <w:t>Cost and phasing.</w:t>
      </w:r>
      <w:r>
        <w:rPr/>
        <w:t xml:space="preserve"> Estimated USD 290k to 580k for the room (bespoke market, no public pricing). At launch, mastering is done by an external engineer and cutting is brokered through Stamper Discs' European partners, so that the lacquer is cut and plated in the same region and only nickel travels. Mastering is labour-bound: an engineer masters perhaps two to four songs a day, which caps the title-services line and is discussed in section 9.</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archived), and from the mother the working 'stampers' that go into the press. This three-step process means a fresh stamper can be pulled from an archived mother in a day or two; a cheaper one-step stamper is single-use and a repress restarts at cutting.</w:t>
      </w:r>
    </w:p>
    <w:p>
      <w:r>
        <w:rPr>
          <w:b/>
        </w:rPr>
        <w:t>Why it is the key to the region.</w:t>
      </w:r>
      <w:r>
        <w:rPr/>
        <w:t xml:space="preserve"> No plating capability has been found in Thailand; the one operating plant buys its stampers abroad. Every title in the country therefore waits on an overseas order, which is the most plausible cause of the incumbent's lead-time penalty on larger runs and its inability to take small ones. Bringing cutting and plating in-house takes an estimated 1.5 to 5 weeks out of the lead time and USD 175 to 665 per title out of the cost, and it is the one capability nobody in the country has.</w:t>
      </w:r>
    </w:p>
    <w:p>
      <w:r>
        <w:rPr>
          <w:b/>
        </w:rPr>
        <w:t>What it needs.</w:t>
      </w:r>
      <w:r>
        <w:rPr/>
        <w:t xml:space="preserve"> A lacquer cleaning and silvering station, a low-stress nickel pre-plate, production electroforming cells for the three generations, an electro-clean and passivation station, a clean room with controlled access, fume extraction and scrubbing, and a closed-loop rinse-water treatment and metal recovery system. The chemistry (silver nitrate, nickel salts) sets the safety and permitting requirements: decontamination procedures, PPE, locked chemical storage, eyewash and emergency shower, and hazardous-substance registration.</w:t>
      </w:r>
    </w:p>
    <w:p>
      <w:r>
        <w:rPr>
          <w:b/>
        </w:rPr>
        <w:t>Who supplies it.</w:t>
      </w:r>
      <w:r>
        <w:rPr/>
        <w:t xml:space="preserve"> Plating Power / Digital Matrix Corporation (New York) is the dominant turnkey vendor for vinyl galvanics (silvering, pre-plate, multi-cell electroforming, passivation). They supply no water treatment: the zero-discharge system comes from an industrial water vendor (Veolia or Hydrotek in Thailand integrating an imported evaporator), following the zero-discharge plating room at Gotta Groove Records in Ohio as the reference model.</w:t>
      </w:r>
    </w:p>
    <w:p>
      <w:r>
        <w:rPr>
          <w:b/>
        </w:rPr>
        <w:t>Cost and phasing.</w:t>
      </w:r>
      <w:r>
        <w:rPr/>
        <w:t xml:space="preserve"> Estimated USD 320k to 650k for the plating line plus USD 90k to 240k for the water plant, plus a clean room. At launch, press-ready stampers come from Stamper Discs (Sheffield, UK), a trade galvanics service that makes stampers to fit Newbilt moulds and ships to 30+ countries, under a written turnaround agreement. The roadmap places in-house galvanics in phase 5, but the August 2026 market evidence argues for costing an earlier start: it addresses the market's actual bottleneck, it is a fraction of the full capital, and it could earn from the incumbent's own presses before CNX's press hall exists. Section 11 sets out that question.</w:t>
      </w:r>
    </w:p>
    <w:p>
      <w:pPr>
        <w:pStyle w:val="Heading2"/>
      </w:pPr>
      <w:r>
        <w:t>4.3 Stamper preparation</w:t>
      </w:r>
    </w:p>
    <w:p>
      <w:r>
        <w:rPr/>
        <w:t>A raw electroformed shell is not yet a stamper. It is centre-punched to the press spindle, back-finished flat, and trimmed and formed ('coined') to the mould. Sibert Instruments (UK, in this niche since the early 1970s) makes the three machines: the VSP punch, VSF back-finisher and VSC coiner. Estimated USD 60k to 170k, pricing unpublished, bought together with the galvanics line. Concentricity and dimensional checks after each step feed the traceability record.</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25 to 30 seconds on an automatic press; on a semi-automatic press an operator handles the patty and the record, which is slower but is exactly what colour, splatter and special editions need.</w:t>
      </w:r>
    </w:p>
    <w:p>
      <w:r>
        <w:rPr>
          <w:b/>
        </w:rPr>
        <w:t>The fleet strategy: 50/50.</w:t>
      </w:r>
      <w:r>
        <w:rPr/>
        <w:t xml:space="preserve"> Half the fleet fully automatic for standard volume, half semi-automatic for effects, special editions and small runs, where an operator working the mould directly is an advantage rather than a cost.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041"/>
            <w:shd w:val="clear" w:color="auto" w:fill="1F3864"/>
          </w:tcPr>
          <w:p>
            <w:pPr>
              <w:spacing w:after="20" w:before="20"/>
            </w:pPr>
            <w:r>
              <w:rPr>
                <w:b/>
              </w:rPr>
            </w:r>
            <w:r>
              <w:rPr>
                <w:b/>
                <w:color w:val="FFFFFF"/>
                <w:sz w:val="17"/>
              </w:rPr>
              <w:t>Machine</w:t>
            </w:r>
          </w:p>
        </w:tc>
        <w:tc>
          <w:tcPr>
            <w:tcW w:type="dxa" w:w="4195"/>
            <w:shd w:val="clear" w:color="auto" w:fill="1F3864"/>
          </w:tcPr>
          <w:p>
            <w:pPr>
              <w:spacing w:after="20" w:before="20"/>
            </w:pPr>
            <w:r>
              <w:rPr>
                <w:b/>
              </w:rPr>
            </w:r>
            <w:r>
              <w:rPr>
                <w:b/>
                <w:color w:val="FFFFFF"/>
                <w:sz w:val="17"/>
              </w:rPr>
              <w:t>Role</w:t>
            </w:r>
          </w:p>
        </w:tc>
        <w:tc>
          <w:tcPr>
            <w:tcW w:type="dxa" w:w="2268"/>
            <w:shd w:val="clear" w:color="auto" w:fill="1F3864"/>
          </w:tcPr>
          <w:p>
            <w:pPr>
              <w:spacing w:after="20" w:before="20"/>
            </w:pPr>
            <w:r>
              <w:rPr>
                <w:b/>
              </w:rPr>
            </w:r>
            <w:r>
              <w:rPr>
                <w:b/>
                <w:color w:val="FFFFFF"/>
                <w:sz w:val="17"/>
              </w:rPr>
              <w:t>Basis</w:t>
            </w:r>
          </w:p>
        </w:tc>
        <w:tc>
          <w:tcPr>
            <w:tcW w:type="dxa" w:w="1134"/>
            <w:shd w:val="clear" w:color="auto" w:fill="1F3864"/>
          </w:tcPr>
          <w:p>
            <w:pPr>
              <w:spacing w:after="20" w:before="20"/>
            </w:pPr>
            <w:r>
              <w:rPr>
                <w:b/>
              </w:rPr>
            </w:r>
            <w:r>
              <w:rPr>
                <w:b/>
                <w:color w:val="FFFFFF"/>
                <w:sz w:val="17"/>
              </w:rPr>
              <w:t>Cost</w:t>
            </w:r>
          </w:p>
        </w:tc>
      </w:tr>
      <w:tr>
        <w:trPr>
          <w:cantSplit/>
        </w:trPr>
        <w:tc>
          <w:tcPr>
            <w:tcW w:type="dxa" w:w="2041"/>
          </w:tcPr>
          <w:p>
            <w:pPr>
              <w:spacing w:after="20" w:before="20"/>
            </w:pPr>
            <w:r/>
            <w:r>
              <w:rPr>
                <w:sz w:val="17"/>
              </w:rPr>
              <w:t>Newbilt Single 2.1 system (Alsdorf, Germany)</w:t>
            </w:r>
          </w:p>
        </w:tc>
        <w:tc>
          <w:tcPr>
            <w:tcW w:type="dxa" w:w="4195"/>
          </w:tcPr>
          <w:p>
            <w:pPr>
              <w:spacing w:after="20" w:before="20"/>
            </w:pPr>
            <w:r/>
            <w:r>
              <w:rPr>
                <w:sz w:val="17"/>
              </w:rPr>
              <w:t>Launch line: VEX 50 extruder, HRP 12 hydraulic press (~150 t), 12-inch book mould set for 140/180 g, Vario trimmer (7/10-inch upgrade path), label dry oven, shrink wrapper, PVC grinder, label punch, spindles and plates. Hydraulics already sized for a second press.</w:t>
            </w:r>
          </w:p>
        </w:tc>
        <w:tc>
          <w:tcPr>
            <w:tcW w:type="dxa" w:w="2268"/>
          </w:tcPr>
          <w:p>
            <w:pPr>
              <w:spacing w:after="20" w:before="20"/>
            </w:pPr>
            <w:r/>
            <w:r>
              <w:rPr>
                <w:sz w:val="17"/>
              </w:rPr>
              <w:t>Quoted: EUR 200,500 (~USD 232k, ~THB 7.7M) including sea freight and packaging, June 2024, expired; re-quote required with build time and order-book position</w:t>
            </w:r>
          </w:p>
        </w:tc>
        <w:tc>
          <w:tcPr>
            <w:tcW w:type="dxa" w:w="1134"/>
          </w:tcPr>
          <w:p>
            <w:pPr>
              <w:spacing w:after="20" w:before="20"/>
            </w:pPr>
            <w:r/>
            <w:r>
              <w:rPr>
                <w:sz w:val="17"/>
              </w:rPr>
              <w:t>USD 230k to 260k</w:t>
            </w:r>
          </w:p>
        </w:tc>
      </w:tr>
      <w:tr>
        <w:trPr>
          <w:cantSplit/>
        </w:trPr>
        <w:tc>
          <w:tcPr>
            <w:tcW w:type="dxa" w:w="2041"/>
            <w:shd w:val="clear" w:color="auto" w:fill="F2F5FA"/>
          </w:tcPr>
          <w:p>
            <w:pPr>
              <w:spacing w:after="20" w:before="20"/>
            </w:pPr>
            <w:r/>
            <w:r>
              <w:rPr>
                <w:sz w:val="17"/>
              </w:rPr>
              <w:t>Duplex expansion</w:t>
            </w:r>
          </w:p>
        </w:tc>
        <w:tc>
          <w:tcPr>
            <w:tcW w:type="dxa" w:w="4195"/>
            <w:shd w:val="clear" w:color="auto" w:fill="F2F5FA"/>
          </w:tcPr>
          <w:p>
            <w:pPr>
              <w:spacing w:after="20" w:before="20"/>
            </w:pPr>
            <w:r/>
            <w:r>
              <w:rPr>
                <w:sz w:val="17"/>
              </w:rPr>
              <w:t>Second press and extruder on the same hydraulic aggregate</w:t>
            </w:r>
          </w:p>
        </w:tc>
        <w:tc>
          <w:tcPr>
            <w:tcW w:type="dxa" w:w="2268"/>
            <w:shd w:val="clear" w:color="auto" w:fill="F2F5FA"/>
          </w:tcPr>
          <w:p>
            <w:pPr>
              <w:spacing w:after="20" w:before="20"/>
            </w:pPr>
            <w:r/>
            <w:r>
              <w:rPr>
                <w:sz w:val="17"/>
              </w:rPr>
              <w:t>Quoted option</w:t>
            </w:r>
          </w:p>
        </w:tc>
        <w:tc>
          <w:tcPr>
            <w:tcW w:type="dxa" w:w="1134"/>
            <w:shd w:val="clear" w:color="auto" w:fill="F2F5FA"/>
          </w:tcPr>
          <w:p>
            <w:pPr>
              <w:spacing w:after="20" w:before="20"/>
            </w:pPr>
            <w:r/>
            <w:r>
              <w:rPr>
                <w:sz w:val="17"/>
              </w:rPr>
              <w:t>~USD 115k</w:t>
            </w:r>
          </w:p>
        </w:tc>
      </w:tr>
      <w:tr>
        <w:trPr>
          <w:cantSplit/>
        </w:trPr>
        <w:tc>
          <w:tcPr>
            <w:tcW w:type="dxa" w:w="2041"/>
          </w:tcPr>
          <w:p>
            <w:pPr>
              <w:spacing w:after="20" w:before="20"/>
            </w:pPr>
            <w:r/>
            <w:r>
              <w:rPr>
                <w:sz w:val="17"/>
              </w:rPr>
              <w:t>Two fully automatic presses</w:t>
            </w:r>
          </w:p>
        </w:tc>
        <w:tc>
          <w:tcPr>
            <w:tcW w:type="dxa" w:w="4195"/>
          </w:tcPr>
          <w:p>
            <w:pPr>
              <w:spacing w:after="20" w:before="20"/>
            </w:pPr>
            <w:r/>
            <w:r>
              <w:rPr>
                <w:sz w:val="17"/>
              </w:rPr>
              <w:t>Volume production, one operator per four presses. Candidates: Pheenix Alpha AD12 (Sweden, successor of Toolex Alpha, 24 to 26 s cycle, ~140/h, 25 kW, closed platen cooling) or Newbilt Classic 12-inch (28 s cycle, ~128/h, built-in extruder, Siemens PLC with OPC UA, vendor-claimed 95% yield and uptime)</w:t>
            </w:r>
          </w:p>
        </w:tc>
        <w:tc>
          <w:tcPr>
            <w:tcW w:type="dxa" w:w="2268"/>
          </w:tcPr>
          <w:p>
            <w:pPr>
              <w:spacing w:after="20" w:before="20"/>
            </w:pPr>
            <w:r/>
            <w:r>
              <w:rPr>
                <w:sz w:val="17"/>
              </w:rPr>
              <w:t>Estimate: ~USD 340k per press indicative, unverified, plus delivery and commissioning</w:t>
            </w:r>
          </w:p>
        </w:tc>
        <w:tc>
          <w:tcPr>
            <w:tcW w:type="dxa" w:w="1134"/>
          </w:tcPr>
          <w:p>
            <w:pPr>
              <w:spacing w:after="20" w:before="20"/>
            </w:pPr>
            <w:r/>
            <w:r>
              <w:rPr>
                <w:sz w:val="17"/>
              </w:rPr>
              <w:t>USD 580k to 920k</w:t>
            </w:r>
          </w:p>
        </w:tc>
      </w:tr>
    </w:tbl>
    <w:p>
      <w:pPr>
        <w:spacing w:after="40"/>
      </w:pPr>
    </w:p>
    <w:p>
      <w:r>
        <w:rPr>
          <w:b/>
        </w:rPr>
        <w:t>What Newbilt deliberately excludes</w:t>
      </w:r>
      <w:r>
        <w:rPr/>
        <w:t>, and what will be engineered and sourced in Thailand: a ~400 kg/h steam generator at 10 bar / 180 °C with water treatment, and a ~250 kW cooling system. These are the two largest energy systems in the plant and the reason the efficiency architecture in section 5.4 is ours to design.</w:t>
      </w:r>
    </w:p>
    <w:p>
      <w:r>
        <w:rPr>
          <w:b/>
        </w:rPr>
        <w:t>Site requirements.</w:t>
      </w:r>
      <w:r>
        <w:rPr/>
        <w:t xml:space="preserve"> Roughly 200 m² of production floor for the Duplex, 32 kVA connected load, saturated steam, compressed air and cooling circuits, and side rooms for materials, compressor, chiller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417"/>
            <w:shd w:val="clear" w:color="auto" w:fill="1F3864"/>
          </w:tcPr>
          <w:p>
            <w:pPr>
              <w:spacing w:after="20" w:before="20"/>
            </w:pPr>
            <w:r>
              <w:rPr>
                <w:b/>
              </w:rPr>
            </w:r>
            <w:r>
              <w:rPr>
                <w:b/>
                <w:color w:val="FFFFFF"/>
                <w:sz w:val="18"/>
              </w:rPr>
              <w:t>Phase</w:t>
            </w:r>
          </w:p>
        </w:tc>
        <w:tc>
          <w:tcPr>
            <w:tcW w:type="dxa" w:w="4535"/>
            <w:shd w:val="clear" w:color="auto" w:fill="1F3864"/>
          </w:tcPr>
          <w:p>
            <w:pPr>
              <w:spacing w:after="20" w:before="20"/>
            </w:pPr>
            <w:r>
              <w:rPr>
                <w:b/>
              </w:rPr>
            </w:r>
            <w:r>
              <w:rPr>
                <w:b/>
                <w:color w:val="FFFFFF"/>
                <w:sz w:val="18"/>
              </w:rPr>
              <w:t>Fleet</w:t>
            </w:r>
          </w:p>
        </w:tc>
        <w:tc>
          <w:tcPr>
            <w:tcW w:type="dxa" w:w="3685"/>
            <w:shd w:val="clear" w:color="auto" w:fill="1F3864"/>
          </w:tcPr>
          <w:p>
            <w:pPr>
              <w:spacing w:after="20" w:before="20"/>
            </w:pPr>
            <w:r>
              <w:rPr>
                <w:b/>
              </w:rPr>
            </w:r>
            <w:r>
              <w:rPr>
                <w:b/>
                <w:color w:val="FFFFFF"/>
                <w:sz w:val="18"/>
              </w:rPr>
              <w:t>Rough output per year</w:t>
            </w:r>
          </w:p>
        </w:tc>
      </w:tr>
      <w:tr>
        <w:trPr>
          <w:cantSplit/>
        </w:trPr>
        <w:tc>
          <w:tcPr>
            <w:tcW w:type="dxa" w:w="1417"/>
          </w:tcPr>
          <w:p>
            <w:pPr>
              <w:spacing w:after="20" w:before="20"/>
            </w:pPr>
            <w:r/>
            <w:r>
              <w:rPr>
                <w:sz w:val="18"/>
              </w:rPr>
              <w:t>Launch</w:t>
            </w:r>
          </w:p>
        </w:tc>
        <w:tc>
          <w:tcPr>
            <w:tcW w:type="dxa" w:w="4535"/>
          </w:tcPr>
          <w:p>
            <w:pPr>
              <w:spacing w:after="20" w:before="20"/>
            </w:pPr>
            <w:r/>
            <w:r>
              <w:rPr>
                <w:sz w:val="18"/>
              </w:rPr>
              <w:t>1 semi-automatic press, 1 shift</w:t>
            </w:r>
          </w:p>
        </w:tc>
        <w:tc>
          <w:tcPr>
            <w:tcW w:type="dxa" w:w="3685"/>
          </w:tcPr>
          <w:p>
            <w:pPr>
              <w:spacing w:after="20" w:before="20"/>
            </w:pPr>
            <w:r/>
            <w:r>
              <w:rPr>
                <w:sz w:val="18"/>
              </w:rPr>
              <w:t>~90,000 to 135,000 records</w:t>
            </w:r>
          </w:p>
        </w:tc>
      </w:tr>
      <w:tr>
        <w:trPr>
          <w:cantSplit/>
        </w:trPr>
        <w:tc>
          <w:tcPr>
            <w:tcW w:type="dxa" w:w="1417"/>
            <w:shd w:val="clear" w:color="auto" w:fill="F2F5FA"/>
          </w:tcPr>
          <w:p>
            <w:pPr>
              <w:spacing w:after="20" w:before="20"/>
            </w:pPr>
            <w:r/>
            <w:r>
              <w:rPr>
                <w:sz w:val="18"/>
              </w:rPr>
              <w:t>Duplex</w:t>
            </w:r>
          </w:p>
        </w:tc>
        <w:tc>
          <w:tcPr>
            <w:tcW w:type="dxa" w:w="4535"/>
            <w:shd w:val="clear" w:color="auto" w:fill="F2F5FA"/>
          </w:tcPr>
          <w:p>
            <w:pPr>
              <w:spacing w:after="20" w:before="20"/>
            </w:pPr>
            <w:r/>
            <w:r>
              <w:rPr>
                <w:sz w:val="18"/>
              </w:rPr>
              <w:t>2 semi-automatic presses, 1 to 2 shifts</w:t>
            </w:r>
          </w:p>
        </w:tc>
        <w:tc>
          <w:tcPr>
            <w:tcW w:type="dxa" w:w="3685"/>
            <w:shd w:val="clear" w:color="auto" w:fill="F2F5FA"/>
          </w:tcPr>
          <w:p>
            <w:pPr>
              <w:spacing w:after="20" w:before="20"/>
            </w:pPr>
            <w:r/>
            <w:r>
              <w:rPr>
                <w:sz w:val="18"/>
              </w:rPr>
              <w:t>~175,000 to 540,000 records</w:t>
            </w:r>
          </w:p>
        </w:tc>
      </w:tr>
      <w:tr>
        <w:trPr>
          <w:cantSplit/>
        </w:trPr>
        <w:tc>
          <w:tcPr>
            <w:tcW w:type="dxa" w:w="1417"/>
          </w:tcPr>
          <w:p>
            <w:pPr>
              <w:spacing w:after="20" w:before="20"/>
            </w:pPr>
            <w:r/>
            <w:r>
              <w:rPr>
                <w:sz w:val="18"/>
              </w:rPr>
              <w:t>Mature</w:t>
            </w:r>
          </w:p>
        </w:tc>
        <w:tc>
          <w:tcPr>
            <w:tcW w:type="dxa" w:w="4535"/>
          </w:tcPr>
          <w:p>
            <w:pPr>
              <w:spacing w:after="20" w:before="20"/>
            </w:pPr>
            <w:r/>
            <w:r>
              <w:rPr>
                <w:sz w:val="18"/>
              </w:rPr>
              <w:t>2 semi-automatic + 2 automatic (50/50 fleet), 2 shifts</w:t>
            </w:r>
          </w:p>
        </w:tc>
        <w:tc>
          <w:tcPr>
            <w:tcW w:type="dxa" w:w="3685"/>
          </w:tcPr>
          <w:p>
            <w:pPr>
              <w:spacing w:after="20" w:before="20"/>
            </w:pPr>
            <w:r/>
            <w:r>
              <w:rPr>
                <w:sz w:val="18"/>
              </w:rPr>
              <w:t>~1.0 to 1.5 million records</w:t>
            </w:r>
          </w:p>
        </w:tc>
      </w:tr>
    </w:tbl>
    <w:p>
      <w:pPr>
        <w:spacing w:before="40" w:after="160"/>
      </w:pPr>
      <w:r>
        <w:rPr>
          <w:i/>
          <w:color w:val="595959"/>
          <w:sz w:val="17"/>
        </w:rPr>
        <w:t>Basis: AD12 ~140 records/h (datasheet); semi-automatic 60 to 80/h assumed; 16 h/day, 300 days/yr, 60 to 70% overall equipment effectiveness. Theoretical ceiling of the mature fleet at 100% uptime is 1.9 to 2.1 million.</w:t>
      </w:r>
    </w:p>
    <w:p>
      <w:r>
        <w:rPr>
          <w:b/>
        </w:rPr>
        <w:t>On the 60 to 70% effectiveness figure.</w:t>
      </w:r>
      <w:r>
        <w:rPr/>
        <w:t xml:space="preserve"> Newbilt publishes 95% yield and 95% uptime for its automatic press. We have not adjusted the plan on that basis, deliberately: a vendor's machine uptime excludes stamper and mould changes, colour changeovers, compound lot changes, first-article QC and breaks, which are exactly the losses that dominate a short-run boutique plant. Both press vendors are being asked for the basis of their figures as part of the re-quote. If they hold, they argue for a higher effectiveness on the automatic half only.</w:t>
      </w:r>
    </w:p>
    <w:p>
      <w:pPr>
        <w:pStyle w:val="Heading2"/>
      </w:pPr>
      <w:r>
        <w:t>4.5 Finishing, packaging and fulfilment</w:t>
      </w:r>
    </w:p>
    <w:p>
      <w:r>
        <w:rPr/>
        <w:t xml:space="preserve">After pressing, records are trimmed inline, labels have been pre-dried in an oven (moisture in a label causes bubbles), and records are sleeved, assembled into jackets, shrink-wrapped and packed.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The plan's quotable lead times, from test-pressing approval:</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launch configuration (bridge stampers from the UK)</w:t>
            </w:r>
          </w:p>
        </w:tc>
        <w:tc>
          <w:tcPr>
            <w:tcW w:type="dxa" w:w="1587"/>
          </w:tcPr>
          <w:p>
            <w:pPr>
              <w:spacing w:after="20" w:before="20"/>
            </w:pPr>
            <w:r/>
            <w:r>
              <w:rPr>
                <w:sz w:val="18"/>
              </w:rPr>
              <w:t>10 to 14 weeks</w:t>
            </w:r>
          </w:p>
        </w:tc>
        <w:tc>
          <w:tcPr>
            <w:tcW w:type="dxa" w:w="4535"/>
          </w:tcPr>
          <w:p>
            <w:pPr>
              <w:spacing w:after="20" w:before="20"/>
            </w:pPr>
            <w:r/>
            <w:r>
              <w:rPr>
                <w:sz w:val="18"/>
              </w:rPr>
              <w:t>Stage sum plus the external metal queue plus buffer; at parity with the 10 to 16 weeks reported for EU/US plants, but closer and in the customer's time zone</w:t>
            </w:r>
          </w:p>
        </w:tc>
      </w:tr>
      <w:tr>
        <w:trPr>
          <w:cantSplit/>
        </w:trPr>
        <w:tc>
          <w:tcPr>
            <w:tcW w:type="dxa" w:w="3515"/>
            <w:shd w:val="clear" w:color="auto" w:fill="F2F5FA"/>
          </w:tcPr>
          <w:p>
            <w:pPr>
              <w:spacing w:after="20" w:before="20"/>
            </w:pPr>
            <w:r/>
            <w:r>
              <w:rPr>
                <w:sz w:val="18"/>
              </w:rPr>
              <w:t>New title, full service, mature configuration (cutting and plating in-house)</w:t>
            </w:r>
          </w:p>
        </w:tc>
        <w:tc>
          <w:tcPr>
            <w:tcW w:type="dxa" w:w="1587"/>
            <w:shd w:val="clear" w:color="auto" w:fill="F2F5FA"/>
          </w:tcPr>
          <w:p>
            <w:pPr>
              <w:spacing w:after="20" w:before="20"/>
            </w:pPr>
            <w:r/>
            <w:r>
              <w:rPr>
                <w:sz w:val="18"/>
              </w:rPr>
              <w:t>7 to 9 weeks</w:t>
            </w:r>
          </w:p>
        </w:tc>
        <w:tc>
          <w:tcPr>
            <w:tcW w:type="dxa" w:w="4535"/>
            <w:shd w:val="clear" w:color="auto" w:fill="F2F5FA"/>
          </w:tcPr>
          <w:p>
            <w:pPr>
              <w:spacing w:after="20" w:before="20"/>
            </w:pPr>
            <w:r/>
            <w:r>
              <w:rPr>
                <w:sz w:val="18"/>
              </w:rPr>
              <w:t>Removes 13 to 27 days of outsourced metal plus freight</w:t>
            </w:r>
          </w:p>
        </w:tc>
      </w:tr>
      <w:tr>
        <w:trPr>
          <w:cantSplit/>
        </w:trPr>
        <w:tc>
          <w:tcPr>
            <w:tcW w:type="dxa" w:w="3515"/>
          </w:tcPr>
          <w:p>
            <w:pPr>
              <w:spacing w:after="20" w:before="20"/>
            </w:pPr>
            <w:r/>
            <w:r>
              <w:rPr>
                <w:sz w:val="18"/>
              </w:rPr>
              <w:t>Customer supplies jackets</w:t>
            </w:r>
          </w:p>
        </w:tc>
        <w:tc>
          <w:tcPr>
            <w:tcW w:type="dxa" w:w="1587"/>
          </w:tcPr>
          <w:p>
            <w:pPr>
              <w:spacing w:after="20" w:before="20"/>
            </w:pPr>
            <w:r/>
            <w:r>
              <w:rPr>
                <w:sz w:val="18"/>
              </w:rPr>
              <w:t>1 to 2 weeks less</w:t>
            </w:r>
          </w:p>
        </w:tc>
        <w:tc>
          <w:tcPr>
            <w:tcW w:type="dxa" w:w="4535"/>
          </w:tcPr>
          <w:p>
            <w:pPr>
              <w:spacing w:after="20" w:before="20"/>
            </w:pPr>
            <w:r/>
            <w:r>
              <w:rPr>
                <w:sz w:val="18"/>
              </w:rPr>
              <w:t>Removes the print path</w:t>
            </w:r>
          </w:p>
        </w:tc>
      </w:tr>
      <w:tr>
        <w:trPr>
          <w:cantSplit/>
        </w:trPr>
        <w:tc>
          <w:tcPr>
            <w:tcW w:type="dxa" w:w="3515"/>
            <w:shd w:val="clear" w:color="auto" w:fill="F2F5FA"/>
          </w:tcPr>
          <w:p>
            <w:pPr>
              <w:spacing w:after="20" w:before="20"/>
            </w:pPr>
            <w:r/>
            <w:r>
              <w:rPr>
                <w:sz w:val="18"/>
              </w:rPr>
              <w:t>Repress from an archived mother, no changes</w:t>
            </w:r>
          </w:p>
        </w:tc>
        <w:tc>
          <w:tcPr>
            <w:tcW w:type="dxa" w:w="1587"/>
            <w:shd w:val="clear" w:color="auto" w:fill="F2F5FA"/>
          </w:tcPr>
          <w:p>
            <w:pPr>
              <w:spacing w:after="20" w:before="20"/>
            </w:pPr>
            <w:r/>
            <w:r>
              <w:rPr>
                <w:sz w:val="18"/>
              </w:rPr>
              <w:t>2 to 3 weeks</w:t>
            </w:r>
          </w:p>
        </w:tc>
        <w:tc>
          <w:tcPr>
            <w:tcW w:type="dxa" w:w="4535"/>
            <w:shd w:val="clear" w:color="auto" w:fill="F2F5FA"/>
          </w:tcPr>
          <w:p>
            <w:pPr>
              <w:spacing w:after="20" w:before="20"/>
            </w:pPr>
            <w:r/>
            <w:r>
              <w:rPr>
                <w:sz w:val="18"/>
              </w:rPr>
              <w:t>Pull stamper (1 to 2 days), prep, press, finish; the highest-margin order the plant will take</w:t>
            </w:r>
          </w:p>
        </w:tc>
      </w:tr>
      <w:tr>
        <w:trPr>
          <w:cantSplit/>
        </w:trPr>
        <w:tc>
          <w:tcPr>
            <w:tcW w:type="dxa" w:w="3515"/>
          </w:tcPr>
          <w:p>
            <w:pPr>
              <w:spacing w:after="20" w:before="20"/>
            </w:pPr>
            <w:r/>
            <w:r>
              <w:rPr>
                <w:sz w:val="18"/>
              </w:rPr>
              <w:t>Rush slot</w:t>
            </w:r>
          </w:p>
        </w:tc>
        <w:tc>
          <w:tcPr>
            <w:tcW w:type="dxa" w:w="1587"/>
          </w:tcPr>
          <w:p>
            <w:pPr>
              <w:spacing w:after="20" w:before="20"/>
            </w:pPr>
            <w:r/>
            <w:r>
              <w:rPr>
                <w:sz w:val="18"/>
              </w:rPr>
              <w:t>Premium, capped per month</w:t>
            </w:r>
          </w:p>
        </w:tc>
        <w:tc>
          <w:tcPr>
            <w:tcW w:type="dxa" w:w="4535"/>
          </w:tcPr>
          <w:p>
            <w:pPr>
              <w:spacing w:after="20" w:before="20"/>
            </w:pPr>
            <w:r/>
            <w:r>
              <w:rPr>
                <w:sz w:val="18"/>
              </w:rPr>
              <w:t>Only credible with reserved capacity</w:t>
            </w:r>
          </w:p>
        </w:tc>
      </w:tr>
    </w:tbl>
    <w:p>
      <w:pPr>
        <w:spacing w:after="40"/>
      </w:pP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Cassette duplication (new scope)</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schedule-neutral; fits inside the building programme; add the activity to the BOI application; recommended to start at tier A or a small tier B in phase 1.</w:t>
      </w:r>
    </w:p>
    <w:p>
      <w:pPr>
        <w:pStyle w:val="Heading2"/>
      </w:pPr>
      <w:r>
        <w:t>4.9 CD: two very different routes (investor decision)</w:t>
      </w:r>
    </w:p>
    <w:p>
      <w:r>
        <w:rPr/>
        <w:t>'CD manufacturing' can mean two things that differ by two orders of magnitude in capital, and the investor is asked to choose.</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phase 2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Include Option A in phase 1: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phase 2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w:t>
      </w:r>
    </w:p>
    <w:p>
      <w:pPr>
        <w:pStyle w:val="Heading2"/>
      </w:pPr>
      <w:r>
        <w:t>5.1 Traceability: every record knows its history</w:t>
      </w:r>
    </w:p>
    <w:p>
      <w:r>
        <w:rPr/>
        <w:t xml:space="preserve">Every step of production is logged continuously, so that every record is traceable end to end for the customer. This is a fixed requirement, and it is the core specification for the factory software the project will build. The natural identity of a record is </w:t>
      </w:r>
      <w:r>
        <w:rPr>
          <w:b/>
        </w:rPr>
        <w:t>stamper ID + press ID + cycle timestamp + side</w:t>
      </w:r>
      <w:r>
        <w:rPr/>
        <w:t>, and everything else hangs off that key.</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customer approvals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IDs, lathe parameters, stylus used, inspection result, dead-wax matrix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batch IDs, bath chemistry logs, father/mother/stamper genealogy (which stamper came from which mother from which father), or the external supplier and batch if bridged</w:t>
            </w:r>
          </w:p>
        </w:tc>
      </w:tr>
      <w:tr>
        <w:trPr>
          <w:cantSplit/>
        </w:trPr>
        <w:tc>
          <w:tcPr>
            <w:tcW w:type="dxa" w:w="2154"/>
          </w:tcPr>
          <w:p>
            <w:pPr>
              <w:spacing w:after="20" w:before="20"/>
            </w:pPr>
            <w:r/>
            <w:r>
              <w:rPr>
                <w:sz w:val="18"/>
              </w:rPr>
              <w:t>Pressing</w:t>
            </w:r>
          </w:p>
        </w:tc>
        <w:tc>
          <w:tcPr>
            <w:tcW w:type="dxa" w:w="7483"/>
          </w:tcPr>
          <w:p>
            <w:pPr>
              <w:spacing w:after="20" w:before="20"/>
            </w:pPr>
            <w:r/>
            <w:r>
              <w:rPr>
                <w:sz w:val="18"/>
              </w:rPr>
              <w:t>Press ID, operator, shift, mould and stamper IDs, per-cycle temperatures, pressures and cycle time, PVC compound lot and virgin/regrind mix, label lot</w:t>
            </w:r>
          </w:p>
        </w:tc>
      </w:tr>
      <w:tr>
        <w:trPr>
          <w:cantSplit/>
        </w:trPr>
        <w:tc>
          <w:tcPr>
            <w:tcW w:type="dxa" w:w="2154"/>
            <w:shd w:val="clear" w:color="auto" w:fill="F2F5FA"/>
          </w:tcPr>
          <w:p>
            <w:pPr>
              <w:spacing w:after="20" w:before="20"/>
            </w:pPr>
            <w:r/>
            <w:r>
              <w:rPr>
                <w:sz w:val="18"/>
              </w:rPr>
              <w:t>Quality control</w:t>
            </w:r>
          </w:p>
        </w:tc>
        <w:tc>
          <w:tcPr>
            <w:tcW w:type="dxa" w:w="7483"/>
            <w:shd w:val="clear" w:color="auto" w:fill="F2F5FA"/>
          </w:tcPr>
          <w:p>
            <w:pPr>
              <w:spacing w:after="20" w:before="20"/>
            </w:pPr>
            <w:r/>
            <w:r>
              <w:rPr>
                <w:sz w:val="18"/>
              </w:rPr>
              <w:t>Test-pressing approvals, inspection results, reject counts and reasons</w:t>
            </w:r>
          </w:p>
        </w:tc>
      </w:tr>
      <w:tr>
        <w:trPr>
          <w:cantSplit/>
        </w:trPr>
        <w:tc>
          <w:tcPr>
            <w:tcW w:type="dxa" w:w="2154"/>
          </w:tcPr>
          <w:p>
            <w:pPr>
              <w:spacing w:after="20" w:before="20"/>
            </w:pPr>
            <w:r/>
            <w:r>
              <w:rPr>
                <w:sz w:val="18"/>
              </w:rPr>
              <w:t>Finishing and packaging</w:t>
            </w:r>
          </w:p>
        </w:tc>
        <w:tc>
          <w:tcPr>
            <w:tcW w:type="dxa" w:w="7483"/>
          </w:tcPr>
          <w:p>
            <w:pPr>
              <w:spacing w:after="20" w:before="20"/>
            </w:pPr>
            <w:r/>
            <w:r>
              <w:rPr>
                <w:sz w:val="18"/>
              </w:rPr>
              <w:t>Trimming, sleeving, carton lot, packaging partner batch</w:t>
            </w:r>
          </w:p>
        </w:tc>
      </w:tr>
      <w:tr>
        <w:trPr>
          <w:cantSplit/>
        </w:trPr>
        <w:tc>
          <w:tcPr>
            <w:tcW w:type="dxa" w:w="2154"/>
            <w:shd w:val="clear" w:color="auto" w:fill="F2F5FA"/>
          </w:tcPr>
          <w:p>
            <w:pPr>
              <w:spacing w:after="20" w:before="20"/>
            </w:pPr>
            <w:r/>
            <w:r>
              <w:rPr>
                <w:sz w:val="18"/>
              </w:rPr>
              <w:t>Fulfilment</w:t>
            </w:r>
          </w:p>
        </w:tc>
        <w:tc>
          <w:tcPr>
            <w:tcW w:type="dxa" w:w="7483"/>
            <w:shd w:val="clear" w:color="auto" w:fill="F2F5FA"/>
          </w:tcPr>
          <w:p>
            <w:pPr>
              <w:spacing w:after="20" w:before="20"/>
            </w:pPr>
            <w:r/>
            <w:r>
              <w:rPr>
                <w:sz w:val="18"/>
              </w:rPr>
              <w:t>Warehouse location, shipment or dropshipping consignment, carrier tracking per end customer</w:t>
            </w:r>
          </w:p>
        </w:tc>
      </w:tr>
    </w:tbl>
    <w:p>
      <w:pPr>
        <w:spacing w:after="40"/>
      </w:pPr>
    </w:p>
    <w:p>
      <w:r>
        <w:rPr>
          <w:b/>
        </w:rPr>
        <w:t>Principles.</w:t>
      </w:r>
      <w:r>
        <w:rPr/>
        <w:t xml:space="preserve"> Log at the source: machine data comes from the machine (press PLCs, plating rectifiers, the AD12's remote monitoring), never from manual transcription; manual steps get a simple operator check-in. Batch and genealogy first: every physical artefact (lacquer, father, mother, stamper, press run, box) gets an ID and knows its parents. Environment attached: the plant's temperature, humidity and particulate logs sit on the same timeline, so any production window can be correlated with plant conditions. Immutable and retained: logs are append-only and kept for the life of the customer relationship; stamper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or report covers the full chain above, without exposing other customers' data.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Machine data access is a purchasing condition.</w:t>
            </w:r>
            <w:r>
              <w:rPr>
                <w:sz w:val="20"/>
              </w:rPr>
              <w:t xml:space="preserve"> Newbilt, Pheenix Alpha and Digital Matrix are asked which PLC interfaces they expose before a purchase order is signed. That question is free now and expensive later.</w:t>
            </w:r>
          </w:p>
        </w:tc>
      </w:tr>
    </w:tbl>
    <w:p>
      <w:pPr>
        <w:spacing w:after="40"/>
      </w:pPr>
    </w:p>
    <w:p>
      <w:r>
        <w:rPr>
          <w:b/>
        </w:rPr>
        <w:t>Cost and build.</w:t>
      </w:r>
      <w:r>
        <w:rPr/>
        <w:t xml:space="preserve"> The traceability and factory software is estimated at USD 60k to 170k and is a development project, not a purchase; no vendor sells a turnkey version. Version 1 (intake, batch genealogy, press telemetry capture) is built during commissioning so the first test pressings are already in the system. The project repository is the eventual home of this software. Open design work: the data model across all stages, retention and PDPA handling for operator-linked records, and whether test-pressing approval workflows live in the same system from day one.</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381"/>
            <w:shd w:val="clear" w:color="auto" w:fill="1F3864"/>
          </w:tcPr>
          <w:p>
            <w:pPr>
              <w:spacing w:after="20" w:before="20"/>
            </w:pPr>
            <w:r>
              <w:rPr>
                <w:b/>
              </w:rPr>
            </w:r>
            <w:r>
              <w:rPr>
                <w:b/>
                <w:color w:val="FFFFFF"/>
                <w:sz w:val="17"/>
              </w:rPr>
              <w:t>Instrument</w:t>
            </w:r>
          </w:p>
        </w:tc>
        <w:tc>
          <w:tcPr>
            <w:tcW w:type="dxa" w:w="3288"/>
            <w:shd w:val="clear" w:color="auto" w:fill="1F3864"/>
          </w:tcPr>
          <w:p>
            <w:pPr>
              <w:spacing w:after="20" w:before="20"/>
            </w:pPr>
            <w:r>
              <w:rPr>
                <w:b/>
              </w:rPr>
            </w:r>
            <w:r>
              <w:rPr>
                <w:b/>
                <w:color w:val="FFFFFF"/>
                <w:sz w:val="17"/>
              </w:rPr>
              <w:t>What it measures</w:t>
            </w:r>
          </w:p>
        </w:tc>
        <w:tc>
          <w:tcPr>
            <w:tcW w:type="dxa" w:w="3969"/>
            <w:shd w:val="clear" w:color="auto" w:fill="1F3864"/>
          </w:tcPr>
          <w:p>
            <w:pPr>
              <w:spacing w:after="20" w:before="20"/>
            </w:pPr>
            <w:r>
              <w:rPr>
                <w:b/>
              </w:rPr>
            </w:r>
            <w:r>
              <w:rPr>
                <w:b/>
                <w:color w:val="FFFFFF"/>
                <w:sz w:val="17"/>
              </w:rPr>
              <w:t>How it is used</w:t>
            </w:r>
          </w:p>
        </w:tc>
      </w:tr>
      <w:tr>
        <w:trPr>
          <w:cantSplit/>
        </w:trPr>
        <w:tc>
          <w:tcPr>
            <w:tcW w:type="dxa" w:w="2381"/>
          </w:tcPr>
          <w:p>
            <w:pPr>
              <w:spacing w:after="20" w:before="20"/>
            </w:pPr>
            <w:r/>
            <w:r>
              <w:rPr>
                <w:sz w:val="17"/>
              </w:rPr>
              <w:t>3D laser confocal microscope (Keyence VK-X class)</w:t>
            </w:r>
          </w:p>
        </w:tc>
        <w:tc>
          <w:tcPr>
            <w:tcW w:type="dxa" w:w="3288"/>
          </w:tcPr>
          <w:p>
            <w:pPr>
              <w:spacing w:after="20" w:before="20"/>
            </w:pPr>
            <w:r/>
            <w:r>
              <w:rPr>
                <w:sz w:val="17"/>
              </w:rPr>
              <w:t>Groove cross-section, wall roughness, micro-defects; 20 nm vertical, ~120 nm lateral resolution, non-contact</w:t>
            </w:r>
          </w:p>
        </w:tc>
        <w:tc>
          <w:tcPr>
            <w:tcW w:type="dxa" w:w="3969"/>
          </w:tcPr>
          <w:p>
            <w:pPr>
              <w:spacing w:after="20" w:before="20"/>
            </w:pPr>
            <w:r/>
            <w:r>
              <w:rPr>
                <w:sz w:val="17"/>
              </w:rPr>
              <w:t>Sampled radial zones (lead-in, outer, mid, inner) on fathers, mothers and stampers; scanning the full spiral is not feasible and not needed. The optical-disc industry verified its nickel stampers with this instrument class, so the technique transfers directly</w:t>
            </w:r>
          </w:p>
        </w:tc>
      </w:tr>
      <w:tr>
        <w:trPr>
          <w:cantSplit/>
        </w:trPr>
        <w:tc>
          <w:tcPr>
            <w:tcW w:type="dxa" w:w="2381"/>
            <w:shd w:val="clear" w:color="auto" w:fill="F2F5FA"/>
          </w:tcPr>
          <w:p>
            <w:pPr>
              <w:spacing w:after="20" w:before="20"/>
            </w:pPr>
            <w:r/>
            <w:r>
              <w:rPr>
                <w:sz w:val="17"/>
              </w:rPr>
              <w:t>Wide-area optical profiler (Keyence VR-6000 class)</w:t>
            </w:r>
          </w:p>
        </w:tc>
        <w:tc>
          <w:tcPr>
            <w:tcW w:type="dxa" w:w="3288"/>
            <w:shd w:val="clear" w:color="auto" w:fill="F2F5FA"/>
          </w:tcPr>
          <w:p>
            <w:pPr>
              <w:spacing w:after="20" w:before="20"/>
            </w:pPr>
            <w:r/>
            <w:r>
              <w:rPr>
                <w:sz w:val="17"/>
              </w:rPr>
              <w:t>Form, flatness, gross defects; 0.1 micron height resolution, ~1 s per field, HDR mode for mirror-bright nickel</w:t>
            </w:r>
          </w:p>
        </w:tc>
        <w:tc>
          <w:tcPr>
            <w:tcW w:type="dxa" w:w="3969"/>
            <w:shd w:val="clear" w:color="auto" w:fill="F2F5FA"/>
          </w:tcPr>
          <w:p>
            <w:pPr>
              <w:spacing w:after="20" w:before="20"/>
            </w:pPr>
            <w:r/>
            <w:r>
              <w:rPr>
                <w:sz w:val="17"/>
              </w:rPr>
              <w:t>Fast whole-part mapping of every part</w:t>
            </w:r>
          </w:p>
        </w:tc>
      </w:tr>
      <w:tr>
        <w:trPr>
          <w:cantSplit/>
        </w:trPr>
        <w:tc>
          <w:tcPr>
            <w:tcW w:type="dxa" w:w="2381"/>
          </w:tcPr>
          <w:p>
            <w:pPr>
              <w:spacing w:after="20" w:before="20"/>
            </w:pPr>
            <w:r/>
            <w:r>
              <w:rPr>
                <w:sz w:val="17"/>
              </w:rPr>
              <w:t>XRF thickness gauge (Fischer or Bowman class)</w:t>
            </w:r>
          </w:p>
        </w:tc>
        <w:tc>
          <w:tcPr>
            <w:tcW w:type="dxa" w:w="3288"/>
          </w:tcPr>
          <w:p>
            <w:pPr>
              <w:spacing w:after="20" w:before="20"/>
            </w:pPr>
            <w:r/>
            <w:r>
              <w:rPr>
                <w:sz w:val="17"/>
              </w:rPr>
              <w:t>Nickel deposit thickness, non-destructive</w:t>
            </w:r>
          </w:p>
        </w:tc>
        <w:tc>
          <w:tcPr>
            <w:tcW w:type="dxa" w:w="3969"/>
          </w:tcPr>
          <w:p>
            <w:pPr>
              <w:spacing w:after="20" w:before="20"/>
            </w:pPr>
            <w:r/>
            <w:r>
              <w:rPr>
                <w:sz w:val="17"/>
              </w:rPr>
              <w:t>Per serial, read on the outer land zones; replaces the ten-point micrometer. Target total thickness variation 10 to 20 microns</w:t>
            </w:r>
          </w:p>
        </w:tc>
      </w:tr>
      <w:tr>
        <w:trPr>
          <w:cantSplit/>
        </w:trPr>
        <w:tc>
          <w:tcPr>
            <w:tcW w:type="dxa" w:w="2381"/>
            <w:shd w:val="clear" w:color="auto" w:fill="F2F5FA"/>
          </w:tcPr>
          <w:p>
            <w:pPr>
              <w:spacing w:after="20" w:before="20"/>
            </w:pPr>
            <w:r/>
            <w:r>
              <w:rPr>
                <w:sz w:val="17"/>
              </w:rPr>
              <w:t>Stylus profilometer</w:t>
            </w:r>
          </w:p>
        </w:tc>
        <w:tc>
          <w:tcPr>
            <w:tcW w:type="dxa" w:w="3288"/>
            <w:shd w:val="clear" w:color="auto" w:fill="F2F5FA"/>
          </w:tcPr>
          <w:p>
            <w:pPr>
              <w:spacing w:after="20" w:before="20"/>
            </w:pPr>
            <w:r/>
            <w:r>
              <w:rPr>
                <w:sz w:val="17"/>
              </w:rPr>
              <w:t>Traceable reference</w:t>
            </w:r>
          </w:p>
        </w:tc>
        <w:tc>
          <w:tcPr>
            <w:tcW w:type="dxa" w:w="3969"/>
            <w:shd w:val="clear" w:color="auto" w:fill="F2F5FA"/>
          </w:tcPr>
          <w:p>
            <w:pPr>
              <w:spacing w:after="20" w:before="20"/>
            </w:pPr>
            <w:r/>
            <w:r>
              <w:rPr>
                <w:sz w:val="17"/>
              </w:rPr>
              <w:t>Calibration of the optical instruments</w:t>
            </w:r>
          </w:p>
        </w:tc>
      </w:tr>
      <w:tr>
        <w:trPr>
          <w:cantSplit/>
        </w:trPr>
        <w:tc>
          <w:tcPr>
            <w:tcW w:type="dxa" w:w="2381"/>
          </w:tcPr>
          <w:p>
            <w:pPr>
              <w:spacing w:after="20" w:before="20"/>
            </w:pPr>
            <w:r/>
            <w:r>
              <w:rPr>
                <w:sz w:val="17"/>
              </w:rPr>
              <w:t>Inline machine vision</w:t>
            </w:r>
          </w:p>
        </w:tc>
        <w:tc>
          <w:tcPr>
            <w:tcW w:type="dxa" w:w="3288"/>
          </w:tcPr>
          <w:p>
            <w:pPr>
              <w:spacing w:after="20" w:before="20"/>
            </w:pPr>
            <w:r/>
            <w:r>
              <w:rPr>
                <w:sz w:val="17"/>
              </w:rPr>
              <w:t>Cosmetic screening</w:t>
            </w:r>
          </w:p>
        </w:tc>
        <w:tc>
          <w:tcPr>
            <w:tcW w:type="dxa" w:w="3969"/>
          </w:tcPr>
          <w:p>
            <w:pPr>
              <w:spacing w:after="20" w:before="20"/>
            </w:pPr>
            <w:r/>
            <w:r>
              <w:rPr>
                <w:sz w:val="17"/>
              </w:rPr>
              <w:t>100% of parts, fast</w:t>
            </w:r>
          </w:p>
        </w:tc>
      </w:tr>
    </w:tbl>
    <w:p>
      <w:pPr>
        <w:spacing w:after="40"/>
      </w:pPr>
    </w:p>
    <w:p>
      <w:r>
        <w:rPr/>
        <w:t>Integration is real but not turnkey: the instruments export data and support scripting, and the inline sensors speak standard industrial protocols, but there is no off-the-shelf connector to a factory database. A light middleware service stamps each measurement with the part serial and batch ID and writes it to the genealogy record. Budget for the full stack (metrology plus the record-QC layers below, plus the audio station) is USD 350k to 810k, phaseable; a basic tier (microscope, benchtop PVC lab, sampled listening) runs from launch.</w:t>
      </w: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should be described to customers exactly as it is: 100% optical plus per-cycle telemetry plus sampled audio, with human ears kept in the loop for test-pressing approval.</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1814"/>
            <w:shd w:val="clear" w:color="auto" w:fill="1F3864"/>
          </w:tcPr>
          <w:p>
            <w:pPr>
              <w:spacing w:after="20" w:before="20"/>
            </w:pPr>
            <w:r>
              <w:rPr>
                <w:b/>
              </w:rPr>
            </w:r>
            <w:r>
              <w:rPr>
                <w:b/>
                <w:color w:val="FFFFFF"/>
                <w:sz w:val="17"/>
              </w:rPr>
              <w:t>Layer</w:t>
            </w:r>
          </w:p>
        </w:tc>
        <w:tc>
          <w:tcPr>
            <w:tcW w:type="dxa" w:w="2721"/>
            <w:shd w:val="clear" w:color="auto" w:fill="1F3864"/>
          </w:tcPr>
          <w:p>
            <w:pPr>
              <w:spacing w:after="20" w:before="20"/>
            </w:pPr>
            <w:r>
              <w:rPr>
                <w:b/>
              </w:rPr>
            </w:r>
            <w:r>
              <w:rPr>
                <w:b/>
                <w:color w:val="FFFFFF"/>
                <w:sz w:val="17"/>
              </w:rPr>
              <w:t>What</w:t>
            </w:r>
          </w:p>
        </w:tc>
        <w:tc>
          <w:tcPr>
            <w:tcW w:type="dxa" w:w="3118"/>
            <w:shd w:val="clear" w:color="auto" w:fill="1F3864"/>
          </w:tcPr>
          <w:p>
            <w:pPr>
              <w:spacing w:after="20" w:before="20"/>
            </w:pPr>
            <w:r>
              <w:rPr>
                <w:b/>
              </w:rPr>
            </w:r>
            <w:r>
              <w:rPr>
                <w:b/>
                <w:color w:val="FFFFFF"/>
                <w:sz w:val="17"/>
              </w:rPr>
              <w:t>Catches</w:t>
            </w:r>
          </w:p>
        </w:tc>
        <w:tc>
          <w:tcPr>
            <w:tcW w:type="dxa" w:w="1984"/>
            <w:shd w:val="clear" w:color="auto" w:fill="1F3864"/>
          </w:tcPr>
          <w:p>
            <w:pPr>
              <w:spacing w:after="20" w:before="20"/>
            </w:pPr>
            <w:r>
              <w:rPr>
                <w:b/>
              </w:rPr>
            </w:r>
            <w:r>
              <w:rPr>
                <w:b/>
                <w:color w:val="FFFFFF"/>
                <w:sz w:val="17"/>
              </w:rPr>
              <w:t>Status</w:t>
            </w:r>
          </w:p>
        </w:tc>
      </w:tr>
      <w:tr>
        <w:trPr>
          <w:cantSplit/>
        </w:trPr>
        <w:tc>
          <w:tcPr>
            <w:tcW w:type="dxa" w:w="1814"/>
          </w:tcPr>
          <w:p>
            <w:pPr>
              <w:spacing w:after="20" w:before="20"/>
            </w:pPr>
            <w:r/>
            <w:r>
              <w:rPr>
                <w:sz w:val="17"/>
              </w:rPr>
              <w:t>1. 100% inline optical inspection</w:t>
            </w:r>
          </w:p>
        </w:tc>
        <w:tc>
          <w:tcPr>
            <w:tcW w:type="dxa" w:w="2721"/>
          </w:tcPr>
          <w:p>
            <w:pPr>
              <w:spacing w:after="20" w:before="20"/>
            </w:pPr>
            <w:r/>
            <w:r>
              <w:rPr>
                <w:sz w:val="17"/>
              </w:rPr>
              <w:t>Darkfield line-scan cameras at the press unloader inspect every record at line speed</w:t>
            </w:r>
          </w:p>
        </w:tc>
        <w:tc>
          <w:tcPr>
            <w:tcW w:type="dxa" w:w="3118"/>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 without playing the record</w:t>
            </w:r>
          </w:p>
        </w:tc>
        <w:tc>
          <w:tcPr>
            <w:tcW w:type="dxa" w:w="1984"/>
          </w:tcPr>
          <w:p>
            <w:pPr>
              <w:spacing w:after="20" w:before="20"/>
            </w:pPr>
            <w:r/>
            <w:r>
              <w:rPr>
                <w:sz w:val="17"/>
              </w:rPr>
              <w:t>Custom integration of general machine vision (Keyence or Cognex class); no vinyl-specific product exists; CNX would be an early adopter</w:t>
            </w:r>
          </w:p>
        </w:tc>
      </w:tr>
      <w:tr>
        <w:trPr>
          <w:cantSplit/>
        </w:trPr>
        <w:tc>
          <w:tcPr>
            <w:tcW w:type="dxa" w:w="1814"/>
            <w:shd w:val="clear" w:color="auto" w:fill="F2F5FA"/>
          </w:tcPr>
          <w:p>
            <w:pPr>
              <w:spacing w:after="20" w:before="20"/>
            </w:pPr>
            <w:r/>
            <w:r>
              <w:rPr>
                <w:sz w:val="17"/>
              </w:rPr>
              <w:t>2. Press telemetry, every cycle</w:t>
            </w:r>
          </w:p>
        </w:tc>
        <w:tc>
          <w:tcPr>
            <w:tcW w:type="dxa" w:w="2721"/>
            <w:shd w:val="clear" w:color="auto" w:fill="F2F5FA"/>
          </w:tcPr>
          <w:p>
            <w:pPr>
              <w:spacing w:after="20" w:before="20"/>
            </w:pPr>
            <w:r/>
            <w:r>
              <w:rPr>
                <w:sz w:val="17"/>
              </w:rPr>
              <w:t>Nozzle pressure, mould temperatures, cycle time, cake weight, yields and drift alerts streamed from the press PLC</w:t>
            </w:r>
          </w:p>
        </w:tc>
        <w:tc>
          <w:tcPr>
            <w:tcW w:type="dxa" w:w="3118"/>
            <w:shd w:val="clear" w:color="auto" w:fill="F2F5FA"/>
          </w:tcPr>
          <w:p>
            <w:pPr>
              <w:spacing w:after="20" w:before="20"/>
            </w:pPr>
            <w:r/>
            <w:r>
              <w:rPr>
                <w:sz w:val="17"/>
              </w:rPr>
              <w:t>Process drift before it becomes a defect; the record-level context for every other check</w:t>
            </w:r>
          </w:p>
        </w:tc>
        <w:tc>
          <w:tcPr>
            <w:tcW w:type="dxa" w:w="1984"/>
            <w:shd w:val="clear" w:color="auto" w:fill="F2F5FA"/>
          </w:tcPr>
          <w:p>
            <w:pPr>
              <w:spacing w:after="20" w:before="20"/>
            </w:pPr>
            <w:r/>
            <w:r>
              <w:rPr>
                <w:sz w:val="17"/>
              </w:rPr>
              <w:t>Proven and deployed in the industry (Viryl ADAPT model); AD12 and Newbilt Classic expose the data</w:t>
            </w:r>
          </w:p>
        </w:tc>
      </w:tr>
      <w:tr>
        <w:trPr>
          <w:cantSplit/>
        </w:trPr>
        <w:tc>
          <w:tcPr>
            <w:tcW w:type="dxa" w:w="1814"/>
          </w:tcPr>
          <w:p>
            <w:pPr>
              <w:spacing w:after="20" w:before="20"/>
            </w:pPr>
            <w:r/>
            <w:r>
              <w:rPr>
                <w:sz w:val="17"/>
              </w:rPr>
              <w:t>3. Automated audio comparison, sampled</w:t>
            </w:r>
          </w:p>
        </w:tc>
        <w:tc>
          <w:tcPr>
            <w:tcW w:type="dxa" w:w="2721"/>
          </w:tcPr>
          <w:p>
            <w:pPr>
              <w:spacing w:after="20" w:before="20"/>
            </w:pPr>
            <w:r/>
            <w:r>
              <w:rPr>
                <w:sz w:val="17"/>
              </w:rPr>
              <w:t>A needle-drop capture station with automated analysis: spectral-envelope comparison against the source master, click and pop counting, noise floor from lead-in silence, channel balance; numeric score and pass/fail to the database</w:t>
            </w:r>
          </w:p>
        </w:tc>
        <w:tc>
          <w:tcPr>
            <w:tcW w:type="dxa" w:w="3118"/>
          </w:tcPr>
          <w:p>
            <w:pPr>
              <w:spacing w:after="20" w:before="20"/>
            </w:pPr>
            <w:r/>
            <w:r>
              <w:rPr>
                <w:sz w:val="17"/>
              </w:rPr>
              <w:t>Wrong master cut into good-looking grooves, EQ and mastering errors, speed and pitch problems; the things no camera can see</w:t>
            </w:r>
          </w:p>
        </w:tc>
        <w:tc>
          <w:tcPr>
            <w:tcW w:type="dxa" w:w="1984"/>
          </w:tcPr>
          <w:p>
            <w:pPr>
              <w:spacing w:after="20" w:before="20"/>
            </w:pPr>
            <w:r/>
            <w:r>
              <w:rPr>
                <w:sz w:val="17"/>
              </w:rPr>
              <w:t>Buildable from proven parts (Stamper Discs' Fonograph approach, iZotope-class algorithms); first-of-kind as a whole</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New lots, and especially new suppliers, are released only by test pressing. As the lab matures, torque rheometry, DSC and FTIR are added; supplier qualification uses an external lab for K-value, stabiliser identification (legacy lead rejected) and heavy-metals compliance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the runout matrix code is scanned against the jacket barcode and every unit's barcode is verified. Results go back to Ploy Printing per packaging lot, which is the practical advantage of a partner ten kilometres away over a supplier ten thousand.</w:t>
      </w:r>
    </w:p>
    <w:p>
      <w:pPr>
        <w:pStyle w:val="Heading2"/>
      </w:pPr>
      <w:r>
        <w:t>5.4 Efficiency: recover before you generate</w:t>
      </w:r>
    </w:p>
    <w:p>
      <w:r>
        <w:rPr/>
        <w:t>The pressing machinery is a modest electrical load (32 kVA connected for a full semi-automatic line). The real energy demand sits in the utilities around it: the steam generator, the 250 kW cooling system, and, in a tropical climate, the whole-plant air conditioning. Because Newbilt excludes steam and cooling from its scope, these systems are ours to design, and the plan's architecture is built on one observation: the steam's job is to heat the moulds and the cooling water's job is to remove that same heat again. Roughly 98% of the cooling load is heat that the steam put into the moulds, and the press cooling return leaves at about 60 °C. That warm return is a premium heat source, and the plant reuses it before generating anything new.</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855"/>
            <w:shd w:val="clear" w:color="auto" w:fill="1F3864"/>
          </w:tcPr>
          <w:p>
            <w:pPr>
              <w:spacing w:after="20" w:before="20"/>
            </w:pPr>
            <w:r>
              <w:rPr>
                <w:b/>
              </w:rPr>
            </w:r>
            <w:r>
              <w:rPr>
                <w:b/>
                <w:color w:val="FFFFFF"/>
                <w:sz w:val="17"/>
              </w:rPr>
              <w:t>What it does</w:t>
            </w:r>
          </w:p>
        </w:tc>
        <w:tc>
          <w:tcPr>
            <w:tcW w:type="dxa" w:w="3628"/>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Feedwater heat recovery</w:t>
            </w:r>
          </w:p>
        </w:tc>
        <w:tc>
          <w:tcPr>
            <w:tcW w:type="dxa" w:w="3855"/>
          </w:tcPr>
          <w:p>
            <w:pPr>
              <w:spacing w:after="20" w:before="20"/>
            </w:pPr>
            <w:r/>
            <w:r>
              <w:rPr>
                <w:sz w:val="17"/>
              </w:rPr>
              <w:t>A water-to-water heat pump lifts the 60 °C press cooling return into boiler feedwater at 90 to 95 °C</w:t>
            </w:r>
          </w:p>
        </w:tc>
        <w:tc>
          <w:tcPr>
            <w:tcW w:type="dxa" w:w="3628"/>
          </w:tcPr>
          <w:p>
            <w:pPr>
              <w:spacing w:after="20" w:before="20"/>
            </w:pPr>
            <w:r/>
            <w:r>
              <w:rPr>
                <w:sz w:val="17"/>
              </w:rPr>
              <w:t>Each kWh does double duty: cuts the boiler's work and removes load from the chiller. With condensate return, saves roughly 10 to 15% of steam energy and shrinks the cooling system</w:t>
            </w:r>
          </w:p>
        </w:tc>
      </w:tr>
      <w:tr>
        <w:trPr>
          <w:cantSplit/>
        </w:trPr>
        <w:tc>
          <w:tcPr>
            <w:tcW w:type="dxa" w:w="2154"/>
            <w:shd w:val="clear" w:color="auto" w:fill="F2F5FA"/>
          </w:tcPr>
          <w:p>
            <w:pPr>
              <w:spacing w:after="20" w:before="20"/>
            </w:pPr>
            <w:r/>
            <w:r>
              <w:rPr>
                <w:sz w:val="17"/>
              </w:rPr>
              <w:t>Condensate return</w:t>
            </w:r>
          </w:p>
        </w:tc>
        <w:tc>
          <w:tcPr>
            <w:tcW w:type="dxa" w:w="3855"/>
            <w:shd w:val="clear" w:color="auto" w:fill="F2F5FA"/>
          </w:tcPr>
          <w:p>
            <w:pPr>
              <w:spacing w:after="20" w:before="20"/>
            </w:pPr>
            <w:r/>
            <w:r>
              <w:rPr>
                <w:sz w:val="17"/>
              </w:rPr>
              <w:t>Steam condensate goes back to the treated feedwater cycle</w:t>
            </w:r>
          </w:p>
        </w:tc>
        <w:tc>
          <w:tcPr>
            <w:tcW w:type="dxa" w:w="3628"/>
            <w:shd w:val="clear" w:color="auto" w:fill="F2F5FA"/>
          </w:tcPr>
          <w:p>
            <w:pPr>
              <w:spacing w:after="20" w:before="20"/>
            </w:pPr>
            <w:r/>
            <w:r>
              <w:rPr>
                <w:sz w:val="17"/>
              </w:rPr>
              <w:t>80% return assumed; less water, less treatment, less fuel</w:t>
            </w:r>
          </w:p>
        </w:tc>
      </w:tr>
      <w:tr>
        <w:trPr>
          <w:cantSplit/>
        </w:trPr>
        <w:tc>
          <w:tcPr>
            <w:tcW w:type="dxa" w:w="2154"/>
          </w:tcPr>
          <w:p>
            <w:pPr>
              <w:spacing w:after="20" w:before="20"/>
            </w:pPr>
            <w:r/>
            <w:r>
              <w:rPr>
                <w:sz w:val="17"/>
              </w:rPr>
              <w:t>Waste heat for low-grade consumers</w:t>
            </w:r>
          </w:p>
        </w:tc>
        <w:tc>
          <w:tcPr>
            <w:tcW w:type="dxa" w:w="3855"/>
          </w:tcPr>
          <w:p>
            <w:pPr>
              <w:spacing w:after="20" w:before="20"/>
            </w:pPr>
            <w:r/>
            <w:r>
              <w:rPr>
                <w:sz w:val="17"/>
              </w:rPr>
              <w:t>The label dry oven and the air conditioning's dehumidification reheat run on recovered press heat</w:t>
            </w:r>
          </w:p>
        </w:tc>
        <w:tc>
          <w:tcPr>
            <w:tcW w:type="dxa" w:w="3628"/>
          </w:tcPr>
          <w:p>
            <w:pPr>
              <w:spacing w:after="20" w:before="20"/>
            </w:pPr>
            <w:r/>
            <w:r>
              <w:rPr>
                <w:sz w:val="17"/>
              </w:rPr>
              <w:t>Displaces fresh electricity in two continuous loads</w:t>
            </w:r>
          </w:p>
        </w:tc>
      </w:tr>
      <w:tr>
        <w:trPr>
          <w:cantSplit/>
        </w:trPr>
        <w:tc>
          <w:tcPr>
            <w:tcW w:type="dxa" w:w="2154"/>
            <w:shd w:val="clear" w:color="auto" w:fill="F2F5FA"/>
          </w:tcPr>
          <w:p>
            <w:pPr>
              <w:spacing w:after="20" w:before="20"/>
            </w:pPr>
            <w:r/>
            <w:r>
              <w:rPr>
                <w:sz w:val="17"/>
              </w:rPr>
              <w:t>Solar-thermal feedwater preheat</w:t>
            </w:r>
          </w:p>
        </w:tc>
        <w:tc>
          <w:tcPr>
            <w:tcW w:type="dxa" w:w="3855"/>
            <w:shd w:val="clear" w:color="auto" w:fill="F2F5FA"/>
          </w:tcPr>
          <w:p>
            <w:pPr>
              <w:spacing w:after="20" w:before="20"/>
            </w:pPr>
            <w:r/>
            <w:r>
              <w:rPr>
                <w:sz w:val="17"/>
              </w:rPr>
              <w:t>Flat-plate or evacuated-tube collectors reach 60 to 90 °C trivially in the Thai sun</w:t>
            </w:r>
          </w:p>
        </w:tc>
        <w:tc>
          <w:tcPr>
            <w:tcW w:type="dxa" w:w="3628"/>
            <w:shd w:val="clear" w:color="auto" w:fill="F2F5FA"/>
          </w:tcPr>
          <w:p>
            <w:pPr>
              <w:spacing w:after="20" w:before="20"/>
            </w:pPr>
            <w:r/>
            <w:r>
              <w:rPr>
                <w:sz w:val="17"/>
              </w:rPr>
              <w:t>Cheap, proven, stackable with the heat pump</w:t>
            </w:r>
          </w:p>
        </w:tc>
      </w:tr>
      <w:tr>
        <w:trPr>
          <w:cantSplit/>
        </w:trPr>
        <w:tc>
          <w:tcPr>
            <w:tcW w:type="dxa" w:w="2154"/>
          </w:tcPr>
          <w:p>
            <w:pPr>
              <w:spacing w:after="20" w:before="20"/>
            </w:pPr>
            <w:r/>
            <w:r>
              <w:rPr>
                <w:sz w:val="17"/>
              </w:rPr>
              <w:t>Steam accumulator</w:t>
            </w:r>
          </w:p>
        </w:tc>
        <w:tc>
          <w:tcPr>
            <w:tcW w:type="dxa" w:w="3855"/>
          </w:tcPr>
          <w:p>
            <w:pPr>
              <w:spacing w:after="20" w:before="20"/>
            </w:pPr>
            <w:r/>
            <w:r>
              <w:rPr>
                <w:sz w:val="17"/>
              </w:rPr>
              <w:t>Presses draw steam in bursts; an accumulator (a Newbilt option) lets a smaller boiler ride the peaks</w:t>
            </w:r>
          </w:p>
        </w:tc>
        <w:tc>
          <w:tcPr>
            <w:tcW w:type="dxa" w:w="3628"/>
          </w:tcPr>
          <w:p>
            <w:pPr>
              <w:spacing w:after="20" w:before="20"/>
            </w:pPr>
            <w:r/>
            <w:r>
              <w:rPr>
                <w:sz w:val="17"/>
              </w:rPr>
              <w:t>Smaller boiler, steadier firing</w:t>
            </w:r>
          </w:p>
        </w:tc>
      </w:tr>
      <w:tr>
        <w:trPr>
          <w:cantSplit/>
        </w:trPr>
        <w:tc>
          <w:tcPr>
            <w:tcW w:type="dxa" w:w="2154"/>
            <w:shd w:val="clear" w:color="auto" w:fill="F2F5FA"/>
          </w:tcPr>
          <w:p>
            <w:pPr>
              <w:spacing w:after="20" w:before="20"/>
            </w:pPr>
            <w:r/>
            <w:r>
              <w:rPr>
                <w:sz w:val="17"/>
              </w:rPr>
              <w:t>Closed-loop cooling</w:t>
            </w:r>
          </w:p>
        </w:tc>
        <w:tc>
          <w:tcPr>
            <w:tcW w:type="dxa" w:w="3855"/>
            <w:shd w:val="clear" w:color="auto" w:fill="F2F5FA"/>
          </w:tcPr>
          <w:p>
            <w:pPr>
              <w:spacing w:after="20" w:before="20"/>
            </w:pPr>
            <w:r/>
            <w:r>
              <w:rPr>
                <w:sz w:val="17"/>
              </w:rPr>
              <w:t>Chiller or hybrid tower with plate heat exchanger; no open 'dirty water' loop as in the reference schematic</w:t>
            </w:r>
          </w:p>
        </w:tc>
        <w:tc>
          <w:tcPr>
            <w:tcW w:type="dxa" w:w="3628"/>
            <w:shd w:val="clear" w:color="auto" w:fill="F2F5FA"/>
          </w:tcPr>
          <w:p>
            <w:pPr>
              <w:spacing w:after="20" w:before="20"/>
            </w:pPr>
            <w:r/>
            <w:r>
              <w:rPr>
                <w:sz w:val="17"/>
              </w:rPr>
              <w:t>No process water discharged; the largest water draw (tower evaporation) shrinks with every kW the heat pump removes</w:t>
            </w:r>
          </w:p>
        </w:tc>
      </w:tr>
      <w:tr>
        <w:trPr>
          <w:cantSplit/>
        </w:trPr>
        <w:tc>
          <w:tcPr>
            <w:tcW w:type="dxa" w:w="2154"/>
          </w:tcPr>
          <w:p>
            <w:pPr>
              <w:spacing w:after="20" w:before="20"/>
            </w:pPr>
            <w:r/>
            <w:r>
              <w:rPr>
                <w:sz w:val="17"/>
              </w:rPr>
              <w:t>Regrind loop</w:t>
            </w:r>
          </w:p>
        </w:tc>
        <w:tc>
          <w:tcPr>
            <w:tcW w:type="dxa" w:w="3855"/>
          </w:tcPr>
          <w:p>
            <w:pPr>
              <w:spacing w:after="20" w:before="20"/>
            </w:pPr>
            <w:r/>
            <w:r>
              <w:rPr>
                <w:sz w:val="17"/>
              </w:rPr>
              <w:t>In-house grinder returns trimmings and rejects to the extruder at 20% of the feed</w:t>
            </w:r>
          </w:p>
        </w:tc>
        <w:tc>
          <w:tcPr>
            <w:tcW w:type="dxa" w:w="3628"/>
          </w:tcPr>
          <w:p>
            <w:pPr>
              <w:spacing w:after="20" w:before="20"/>
            </w:pPr>
            <w:r/>
            <w:r>
              <w:rPr>
                <w:sz w:val="17"/>
              </w:rPr>
              <w:t>Scrap is feedstock, not landfill; ~20% less virgin compound</w:t>
            </w:r>
          </w:p>
        </w:tc>
      </w:tr>
      <w:tr>
        <w:trPr>
          <w:cantSplit/>
        </w:trPr>
        <w:tc>
          <w:tcPr>
            <w:tcW w:type="dxa" w:w="2154"/>
            <w:shd w:val="clear" w:color="auto" w:fill="F2F5FA"/>
          </w:tcPr>
          <w:p>
            <w:pPr>
              <w:spacing w:after="20" w:before="20"/>
            </w:pPr>
            <w:r/>
            <w:r>
              <w:rPr>
                <w:sz w:val="17"/>
              </w:rPr>
              <w:t>One operator per four automatic presses</w:t>
            </w:r>
          </w:p>
        </w:tc>
        <w:tc>
          <w:tcPr>
            <w:tcW w:type="dxa" w:w="3855"/>
            <w:shd w:val="clear" w:color="auto" w:fill="F2F5FA"/>
          </w:tcPr>
          <w:p>
            <w:pPr>
              <w:spacing w:after="20" w:before="20"/>
            </w:pPr>
            <w:r/>
            <w:r>
              <w:rPr>
                <w:sz w:val="17"/>
              </w:rPr>
              <w:t>Automatic patty, label and cooling-plate handling</w:t>
            </w:r>
          </w:p>
        </w:tc>
        <w:tc>
          <w:tcPr>
            <w:tcW w:type="dxa" w:w="3628"/>
            <w:shd w:val="clear" w:color="auto" w:fill="F2F5FA"/>
          </w:tcPr>
          <w:p>
            <w:pPr>
              <w:spacing w:after="20" w:before="20"/>
            </w:pPr>
            <w:r/>
            <w:r>
              <w:rPr>
                <w:sz w:val="17"/>
              </w:rPr>
              <w:t>Labour per record on the automatic half is a fraction of the semi-automatic line's</w:t>
            </w:r>
          </w:p>
        </w:tc>
      </w:tr>
    </w:tbl>
    <w:p>
      <w:pPr>
        <w:spacing w:after="40"/>
      </w:pPr>
    </w:p>
    <w:p>
      <w:r>
        <w:rPr/>
        <w:t>Two things were checked and ruled out: heat pumps cannot make the final 10 bar / 180 °C steam (commercial units top out around 120 to 165 °C, and core utility reliability is the wrong place to pioneer), and ground-source heat exchange does not work in Thailand (the ground sits at 28 to 30 °C, too cold for process heat and warmer than the cooling loop wants). The boiler only does the final lift, from already-hot feedwater.</w:t>
      </w:r>
    </w:p>
    <w:p>
      <w:pPr>
        <w:pStyle w:val="Heading3"/>
      </w:pPr>
      <w:r>
        <w:t>Renewable energy</w:t>
      </w:r>
    </w:p>
    <w:tbl>
      <w:tblPr>
        <w:tblStyle w:val="TableGrid"/>
        <w:tblW w:type="auto" w:w="0"/>
        <w:jc w:val="center"/>
        <w:tblLook w:firstColumn="1" w:firstRow="1" w:lastColumn="0" w:lastRow="0" w:noHBand="0" w:noVBand="1" w:val="04A0"/>
      </w:tblPr>
      <w:tblGrid>
        <w:gridCol w:w="4819"/>
        <w:gridCol w:w="4819"/>
      </w:tblGrid>
      <w:tr>
        <w:trPr>
          <w:cantSplit/>
        </w:trPr>
        <w:tc>
          <w:tcPr>
            <w:tcW w:type="dxa" w:w="2835"/>
            <w:shd w:val="clear" w:color="auto" w:fill="F2F5FA"/>
          </w:tcPr>
          <w:p>
            <w:pPr>
              <w:spacing w:after="20" w:before="20"/>
            </w:pPr>
            <w:r>
              <w:rPr>
                <w:b/>
              </w:rPr>
            </w:r>
            <w:r>
              <w:rPr>
                <w:b/>
                <w:sz w:val="19"/>
              </w:rPr>
              <w:t>Rooftop PV, phase 1</w:t>
            </w:r>
          </w:p>
        </w:tc>
        <w:tc>
          <w:tcPr>
            <w:tcW w:type="dxa" w:w="6520"/>
          </w:tcPr>
          <w:p>
            <w:pPr>
              <w:spacing w:after="20" w:before="20"/>
            </w:pPr>
            <w:r/>
            <w:r>
              <w:rPr>
                <w:sz w:val="19"/>
              </w:rPr>
              <w:t>~247 kWp on the 1,523 m² monopitch roof (425 modules of the current 580 W class) plus ~40 kWp on the parking canopies, ~290 kWp total; expected yield ~335 to 360 MWh/yr from the roof, ~25 to 35% of mature two-shift consumption</w:t>
            </w:r>
          </w:p>
        </w:tc>
      </w:tr>
      <w:tr>
        <w:trPr>
          <w:cantSplit/>
        </w:trPr>
        <w:tc>
          <w:tcPr>
            <w:tcW w:type="dxa" w:w="2835"/>
            <w:shd w:val="clear" w:color="auto" w:fill="F2F5FA"/>
          </w:tcPr>
          <w:p>
            <w:pPr>
              <w:spacing w:after="20" w:before="20"/>
            </w:pPr>
            <w:r>
              <w:rPr>
                <w:b/>
              </w:rPr>
            </w:r>
            <w:r>
              <w:rPr>
                <w:b/>
                <w:sz w:val="19"/>
              </w:rPr>
              <w:t>Rooftop PV, with phase 2 building</w:t>
            </w:r>
          </w:p>
        </w:tc>
        <w:tc>
          <w:tcPr>
            <w:tcW w:type="dxa" w:w="6520"/>
          </w:tcPr>
          <w:p>
            <w:pPr>
              <w:spacing w:after="20" w:before="20"/>
            </w:pPr>
            <w:r/>
            <w:r>
              <w:rPr>
                <w:sz w:val="19"/>
              </w:rPr>
              <w:t>~498 kWp across both roofs, which removes the need for ground-mount solar</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40k to 58k listed, 50 to 60 day lead. Peak shaving and ride-through, roughly two to three hours of the chiller's draw,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Multiple 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and the building stays aligned with the plot.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vs the chosen Deye model's window; Gobel safety certifications (not published); EPC warranty on a mixed-vendor DC bus; confirm yield against PVGIS before committing</w:t>
            </w:r>
          </w:p>
        </w:tc>
      </w:tr>
    </w:tbl>
    <w:p>
      <w:pPr>
        <w:spacing w:after="40"/>
      </w:pPr>
    </w:p>
    <w:p>
      <w:pPr>
        <w:pStyle w:val="Heading3"/>
      </w:pPr>
      <w:r>
        <w:t>Steam: the open engineering choice</w:t>
      </w:r>
    </w:p>
    <w:p>
      <w:r>
        <w:rPr/>
        <w:t xml:space="preserve">There is no natural gas pipeline in Northern Thailand, so gas means a bulk LPG tank on site and diesel means a fuel tank with price exposure. The plan keeps two fossil-free routes open. An </w:t>
      </w:r>
      <w:r>
        <w:rPr>
          <w:b/>
        </w:rPr>
        <w:t>electric boiler</w:t>
      </w:r>
      <w:r>
        <w:rPr/>
        <w:t xml:space="preserve"> (THB 2.5M to 4.0M installed, Miura or Bangkok Industrial Boilers class) is fast, clean to permit, and maximises the solar share, at a ~300 kW draw that pushes the grid connection toward 750 kVA. A </w:t>
      </w:r>
      <w:r>
        <w:rPr>
          <w:b/>
        </w:rPr>
        <w:t>biomass boiler</w:t>
      </w:r>
      <w:r>
        <w:rPr/>
        <w:t xml:space="preserve"> (THB 4M to 7M, Getabec, Thai-fabricated) burns wood chips, longan orchard prunings (Lamphun is Thailand's longan heartland and prunings are a traded fuel), corn cobs and rice husk, roughly 350 to 400 tonnes a year at maturity; it makes the steam genuinely renewable at the cost of fuel logistics, ash handling and an emissions stack. The team's own 60 rai of forestry-classified land could supply 80 to 135 tonnes a year as short-rotation coppice, most of early operations' need, but only after its legal classification is verified. The staged path is the working assumption: </w:t>
      </w:r>
      <w:r>
        <w:rPr>
          <w:b/>
        </w:rPr>
        <w:t>start electric, plant the coppice now, add biomass at the automatic-line expansion</w:t>
      </w:r>
      <w:r>
        <w:rPr/>
        <w:t xml:space="preserve"> when demand and fuel supply have both matured. The building already has a boiler hall and a fuel store in its utility yard.</w:t>
      </w:r>
    </w:p>
    <w:p>
      <w:pPr>
        <w:pStyle w:val="Heading3"/>
      </w:pPr>
      <w:r>
        <w:t>Water</w:t>
      </w:r>
    </w:p>
    <w:p>
      <w:r>
        <w:rPr/>
        <w:t xml:space="preserve">Estimated demand at mature two-shift operation is about 15 m³ per day, called 20 with margin: cooling tower evaporation and blowdown (over half), boiler makeup, galvanics rinse after recycling, and domestic use for 25 staff. Source is open (PWA mains or a licensed well) and drives part of the utilities budget. Storage is a dedicated ~200 m³ fire reserve plus a ~50 m³ raw-water tank feeding a softener or RO skid. </w:t>
      </w:r>
      <w:r>
        <w:rPr>
          <w:b/>
        </w:rPr>
        <w:t>No process water is discharged:</w:t>
      </w:r>
      <w:r>
        <w:rPr/>
        <w:t xml:space="preserve"> cooling is a closed loop, condensate is returned, galvanics rinse water goes through closed-loop treatment and metal recovery (an evaporator, THB 3M to 8M, with the galvanics line), and solvents are contained and disposed of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and it is treated here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Heat is recovered from the presses before any fuel is burned; a quarter to a third of electricity comes from the roof at phase 1 and up to half with the second building; a battery shaves the peaks; cooling water is never discharged; a fifth of the plastic is reclaimed; and one operator runs four automatic presses. The same choices cut the energy line in the cost model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in Lamphun</w:t>
      </w:r>
    </w:p>
    <w:p>
      <w:r>
        <w:rPr/>
        <w:t xml:space="preserve">The project's site strategy has changed from purchase to </w:t>
      </w:r>
      <w:r>
        <w:rPr>
          <w:b/>
        </w:rPr>
        <w:t>long-term lease of raw land</w:t>
      </w:r>
      <w:r>
        <w:rPr/>
        <w:t>, on which the purpose-built plant is still constructed. This lowers upfront capital by roughly USD 0.4M to 1.0M (THB 12M to 32M at the 2 to 4 million THB per rai the plan carried for purchase), removes land from the balance sheet, and matches how most foreign-invested manufacturing in Thailand actually holds its site. It brings its own conditions, which Thai counsel will resolve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must state clearly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and consent from any co-owners. A lease of Sor Por Kor or forestry-classified land is not acceptable.</w:t>
      </w:r>
    </w:p>
    <w:p>
      <w:pPr>
        <w:pStyle w:val="ListBullet"/>
      </w:pPr>
      <w:r>
        <w:rPr>
          <w:b/>
        </w:rPr>
        <w:t>Zoning and factory permission.</w:t>
      </w:r>
      <w:r>
        <w:rPr/>
        <w:t xml:space="preserve"> The candidate parcel in Mueang Chi, Lamphun is agricultural land whose zoning for factory use is unverified; this gates everything and is the cheapest schedule insurance available. The Northern Region Industrial Estate in Lamphun (IEAT) is the fallback: leased plots, licensing handled by the estate, and shared central effluent treatment that eases the galvanics permitting.</w:t>
      </w:r>
    </w:p>
    <w:p>
      <w:pPr>
        <w:pStyle w:val="ListBullet"/>
      </w:pPr>
      <w:r>
        <w:rPr>
          <w:b/>
        </w:rPr>
        <w:t>BOI interaction.</w:t>
      </w:r>
      <w:r>
        <w:rPr/>
        <w:t xml:space="preserve"> BOI's land-ownership privilege for foreign-held promoted companies is simply not used; leasing does not affect the promotion.</w:t>
      </w:r>
    </w:p>
    <w:p>
      <w:pPr>
        <w:pStyle w:val="ListBullet"/>
      </w:pPr>
      <w:r>
        <w:rPr>
          <w:b/>
        </w:rPr>
        <w:t>Rent.</w:t>
      </w:r>
      <w:r>
        <w:rPr/>
        <w:t xml:space="preserve"> Not yet negotiated. The plan carries THB 0.3M to 1.0M per year (USD 9k to 30k) as an estimate for 5 to 8 rai of agricultural land converted to industrial use in the Lamphun valley; IEAT plots run higher. The negotiated figure replaces this.</w:t>
      </w:r>
    </w:p>
    <w:p>
      <w:r>
        <w:rPr/>
        <w:t>Land requirements are unchanged: ~4 rai minimum, 6 to 8 rai comfortable with expansion, truck access and turning, parking, the outdoor cooling tower, a separated battery enclosure, and a 500 to 1,000 kVA medium-voltage connection from PEA.</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phase 1 main building, detached utility yard, fire and raw water tanks, parking canopies, and the phase 2 building footprint. Source: parametric model, project repository.</w:t>
      </w:r>
    </w:p>
    <w:p>
      <w:r>
        <w:rPr/>
        <w:t xml:space="preserve">The phase 1 building is a single-storey steel portal frame of </w:t>
      </w:r>
      <w:r>
        <w:rPr>
          <w:b/>
        </w:rPr>
        <w:t>60 × 25 m (1,500 m²)</w:t>
      </w:r>
      <w:r>
        <w:rPr/>
        <w:t xml:space="preserve"> with a 10° monopitch roof carrying the PV array, low eave 7.0 m, high side ~11.4 m. The floor is a 200 mm slab rated 30 kN/m² (3 t/m², the standard industrial class and what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Cassette duplication and CD-R duplication (new)</w:t>
            </w:r>
          </w:p>
        </w:tc>
        <w:tc>
          <w:tcPr>
            <w:tcW w:type="dxa" w:w="3402"/>
            <w:shd w:val="clear" w:color="auto" w:fill="F2F5FA"/>
          </w:tcPr>
          <w:p>
            <w:pPr>
              <w:spacing w:after="20" w:before="20"/>
            </w:pPr>
            <w:r/>
            <w:r>
              <w:rPr>
                <w:sz w:val="18"/>
              </w:rPr>
              <w:t>~60 to 100 m²</w:t>
            </w:r>
          </w:p>
        </w:tc>
      </w:tr>
      <w:tr>
        <w:trPr>
          <w:cantSplit/>
        </w:trPr>
        <w:tc>
          <w:tcPr>
            <w:tcW w:type="dxa" w:w="6236"/>
          </w:tcPr>
          <w:p>
            <w:pPr>
              <w:spacing w:after="20" w:before="20"/>
            </w:pPr>
            <w:r/>
            <w:r>
              <w:rPr>
                <w:sz w:val="18"/>
              </w:rPr>
              <w:t>Packaging, assembly and finished-goods warehouse</w:t>
            </w:r>
          </w:p>
        </w:tc>
        <w:tc>
          <w:tcPr>
            <w:tcW w:type="dxa" w:w="3402"/>
          </w:tcPr>
          <w:p>
            <w:pPr>
              <w:spacing w:after="20" w:before="20"/>
            </w:pPr>
            <w:r/>
            <w:r>
              <w:rPr>
                <w:sz w:val="18"/>
              </w:rPr>
              <w:t>~300 to 500 m²</w:t>
            </w:r>
          </w:p>
        </w:tc>
      </w:tr>
      <w:tr>
        <w:trPr>
          <w:cantSplit/>
        </w:trPr>
        <w:tc>
          <w:tcPr>
            <w:tcW w:type="dxa" w:w="6236"/>
            <w:shd w:val="clear" w:color="auto" w:fill="F2F5FA"/>
          </w:tcPr>
          <w:p>
            <w:pPr>
              <w:spacing w:after="20" w:before="20"/>
            </w:pPr>
            <w:r/>
            <w:r>
              <w:rPr>
                <w:sz w:val="18"/>
              </w:rPr>
              <w:t>Utility rooms inside (compressor, electrical, IT)</w:t>
            </w:r>
          </w:p>
        </w:tc>
        <w:tc>
          <w:tcPr>
            <w:tcW w:type="dxa" w:w="3402"/>
            <w:shd w:val="clear" w:color="auto" w:fill="F2F5FA"/>
          </w:tcPr>
          <w:p>
            <w:pPr>
              <w:spacing w:after="20" w:before="20"/>
            </w:pPr>
            <w:r/>
            <w:r>
              <w:rPr>
                <w:sz w:val="18"/>
              </w:rPr>
              <w:t>~50 to 100 m²</w:t>
            </w:r>
          </w:p>
        </w:tc>
      </w:tr>
      <w:tr>
        <w:trPr>
          <w:cantSplit/>
        </w:trPr>
        <w:tc>
          <w:tcPr>
            <w:tcW w:type="dxa" w:w="6236"/>
          </w:tcPr>
          <w:p>
            <w:pPr>
              <w:spacing w:after="20" w:before="20"/>
            </w:pPr>
            <w:r/>
            <w:r>
              <w:rPr>
                <w:sz w:val="18"/>
              </w:rPr>
              <w:t>Offices, QC and listening room, archive, entrance</w:t>
            </w:r>
          </w:p>
        </w:tc>
        <w:tc>
          <w:tcPr>
            <w:tcW w:type="dxa" w:w="3402"/>
          </w:tcPr>
          <w:p>
            <w:pPr>
              <w:spacing w:after="20" w:before="20"/>
            </w:pPr>
            <w:r/>
            <w:r>
              <w:rPr>
                <w:sz w:val="18"/>
              </w:rPr>
              <w:t>~150 to 200 m²</w:t>
            </w:r>
          </w:p>
        </w:tc>
      </w:tr>
      <w:tr>
        <w:trPr>
          <w:cantSplit/>
        </w:trPr>
        <w:tc>
          <w:tcPr>
            <w:tcW w:type="dxa" w:w="6236"/>
            <w:shd w:val="clear" w:color="auto" w:fill="F2F5FA"/>
          </w:tcPr>
          <w:p>
            <w:pPr>
              <w:spacing w:after="20" w:before="20"/>
            </w:pPr>
            <w:r/>
            <w:r>
              <w:rPr>
                <w:sz w:val="18"/>
              </w:rPr>
              <w:t>Circulation, walls, miscellaneous</w:t>
            </w:r>
          </w:p>
        </w:tc>
        <w:tc>
          <w:tcPr>
            <w:tcW w:type="dxa" w:w="3402"/>
            <w:shd w:val="clear" w:color="auto" w:fill="F2F5FA"/>
          </w:tcPr>
          <w:p>
            <w:pPr>
              <w:spacing w:after="20" w:before="20"/>
            </w:pPr>
            <w:r/>
            <w:r>
              <w:rPr>
                <w:sz w:val="18"/>
              </w:rPr>
              <w:t>~150 to 250 m²</w:t>
            </w:r>
          </w:p>
        </w:tc>
      </w:tr>
      <w:tr>
        <w:trPr>
          <w:cantSplit/>
        </w:trPr>
        <w:tc>
          <w:tcPr>
            <w:tcW w:type="dxa" w:w="6236"/>
          </w:tcPr>
          <w:p>
            <w:pPr>
              <w:spacing w:after="20" w:before="20"/>
            </w:pPr>
            <w:r/>
            <w:r>
              <w:rPr>
                <w:b/>
                <w:sz w:val="18"/>
              </w:rPr>
              <w:t>Total under roof</w:t>
            </w:r>
          </w:p>
        </w:tc>
        <w:tc>
          <w:tcPr>
            <w:tcW w:type="dxa" w:w="3402"/>
          </w:tcPr>
          <w:p>
            <w:pPr>
              <w:spacing w:after="20" w:before="20"/>
            </w:pPr>
            <w:r/>
            <w:r>
              <w:rPr>
                <w:b/>
                <w:sz w:val="18"/>
              </w:rPr>
              <w:t>~1,200 to 1,700 m²</w:t>
            </w:r>
            <w:r>
              <w:rPr>
                <w:sz w:val="18"/>
              </w:rPr>
              <w:t>, against 1,500 m² built</w:t>
            </w:r>
          </w:p>
        </w:tc>
      </w:tr>
    </w:tbl>
    <w:p>
      <w:pPr>
        <w:spacing w:before="40" w:after="160"/>
      </w:pPr>
      <w:r>
        <w:rPr>
          <w:i/>
          <w:color w:val="595959"/>
          <w:sz w:val="17"/>
        </w:rPr>
        <w:t>The boiler hall (66 m²), biomass fuel store (42 m²), chiller room (60 m²) and cooling tower pad sit in a detached utility yard, which frees the main floor for production and keeps the boiler in its own room as Thai regulations require.</w:t>
      </w:r>
    </w:p>
    <w:p>
      <w:r>
        <w:rPr/>
        <w:t>Site works include a ~444 m perimeter wall, one 10 m sliding gate with a guard house, 4,387 m² of paving in two classes (heavy-duty for trucks, general for parking and yard), roofed parking for 10 cars and 30 scooters with ~40 kWp of PV on the canopies, foundations for a 9 m fire water tank and a 5 m raw-water tank, a fire ring main and hydrants, stormwater drainage (66% of the plot becomes sealed, so a detention pond may be required for the permit), and domestic sanitation.</w:t>
      </w:r>
    </w:p>
    <w:p>
      <w:r>
        <w:rPr>
          <w:b/>
        </w:rPr>
        <w:t>A second building is expansion, not a gap.</w:t>
      </w:r>
      <w:r>
        <w:rPr/>
        <w:t xml:space="preserve"> The whole zone table fits inside the phase 1 building. A 45 × 38 m (1,710 m²) phase 2 building fits the plot's narrowing southern end with a two-bay sawtooth roof carrying ~251 kWp, a 20 m yard between the two for fire separation and shared loading; total coverage stays at 39% of the deed area. It is where a CD replication line would go if that option is chosen (section 4.9), or where finished goods move to free production floor.</w:t>
      </w:r>
    </w:p>
    <w:p>
      <w:pPr>
        <w:pStyle w:val="Heading3"/>
      </w:pPr>
      <w:r>
        <w:t>What the building costs, and what is not known</w:t>
      </w:r>
    </w:p>
    <w:p>
      <w:r>
        <w:rPr/>
        <w:t xml:space="preserve">Building and civil works are estimated at </w:t>
      </w:r>
      <w:r>
        <w:rPr>
          <w:b/>
        </w:rPr>
        <w:t>USD 650k to 1.1M</w:t>
      </w:r>
      <w:r>
        <w:rPr/>
        <w:t xml:space="preserve"> (THB 21M to 36M) at 12,000 to 20,000 THB/m² for Thai pre-engineered steel construction to the insulated-panel specification, plus ~20% site works. A budget-level price request with quantities from the parametric model is ready to send to contractors. The single largest unknown is the ground: the parcel is likely soft former paddy, and a piled slab can add several hundred to 1,000+ THB/m² across the building, 4,387 m² of paving and a 1,711 m³ fill platform. A soil boring test (THB 30k to 50k) comes before any real number and is in the phase 0 budget.</w:t>
      </w:r>
    </w:p>
    <w:p>
      <w:pPr>
        <w:jc w:val="center"/>
      </w:pPr>
      <w:r>
        <w:drawing>
          <wp:inline xmlns:a="http://schemas.openxmlformats.org/drawingml/2006/main" xmlns:pic="http://schemas.openxmlformats.org/drawingml/2006/picture">
            <wp:extent cx="5400000" cy="4050000"/>
            <wp:docPr id="4" name="Picture 4"/>
            <wp:cNvGraphicFramePr>
              <a:graphicFrameLocks noChangeAspect="1"/>
            </wp:cNvGraphicFramePr>
            <a:graphic>
              <a:graphicData uri="http://schemas.openxmlformats.org/drawingml/2006/picture">
                <pic:pic>
                  <pic:nvPicPr>
                    <pic:cNvPr id="0" name="aerial-southwest.png"/>
                    <pic:cNvPicPr/>
                  </pic:nvPicPr>
                  <pic:blipFill>
                    <a:blip r:embed="rId14"/>
                    <a:stretch>
                      <a:fillRect/>
                    </a:stretch>
                  </pic:blipFill>
                  <pic:spPr>
                    <a:xfrm>
                      <a:off x="0" y="0"/>
                      <a:ext cx="5400000" cy="4050000"/>
                    </a:xfrm>
                    <a:prstGeom prst="rect"/>
                  </pic:spPr>
                </pic:pic>
              </a:graphicData>
            </a:graphic>
          </wp:inline>
        </w:drawing>
      </w:r>
    </w:p>
    <w:p>
      <w:pPr>
        <w:spacing w:before="40" w:after="160"/>
      </w:pPr>
      <w:r>
        <w:rPr>
          <w:i/>
          <w:color w:val="595959"/>
          <w:sz w:val="17"/>
        </w:rPr>
        <w:t>Figure 3. Massing render from the south-west: phase 1 building with rooftop PV, utility yard, tanks and parking canopies. Source: parametric model.</w:t>
      </w:r>
    </w:p>
    <w:p>
      <w:pPr>
        <w:pStyle w:val="Heading2"/>
      </w:pPr>
      <w:r>
        <w:t>6.3 Safety, security and the irreplaceable</w:t>
      </w:r>
    </w:p>
    <w:p>
      <w:r>
        <w:rPr/>
        <w:t>Worker safety is a founding priority on equal footing with the environmental commitments. The pressing line combines hydraulics at ~180 bar, saturated steam at 10 bar / 180 °C and hot PVC; the galvanics room handles silver nitrate and nickel salts. The plan provides vendor-led commissioning training extending into an in-house program, mandatory PPE per area, controlled access and decontamination for the clean rooms, eyewash and emergency shower at the plating line, a licensed boiler operator, and fume-extraction interlocks (no extraction, no plating).</w:t>
      </w:r>
    </w:p>
    <w:p>
      <w:r>
        <w:rPr/>
        <w:t xml:space="preserve">Physical security is zoned: production, galvanics, chemical storage, the master and stamper archive, IT, and shipping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access logging, clean-agent gas suppression because sprinkler water would destroy lacquers and paper and corrode the metal) and </w:t>
      </w:r>
      <w:r>
        <w:rPr>
          <w:b/>
        </w:rPr>
        <w:t>client audio</w:t>
      </w:r>
      <w:r>
        <w:rPr/>
        <w:t xml:space="preserve"> (pre-release music is a leak target; isolated encrypted storage,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detection and containment rather than suppression for the battery enclosure. The site carries its own ~200 m³ fire reserve and pump set because mains flow in Mueang Chi cannot be assumed. The property insurer is involved before the design is fixed.</w:t>
      </w:r>
    </w:p>
    <w:p>
      <w:pPr>
        <w:pStyle w:val="Heading1"/>
      </w:pPr>
      <w:r>
        <w:t>7. Regulatory: BOI promotion and licences</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equipment list is imported (Germany, Sweden, USA, UK, Japan). Significant across every equipment block.</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Land ownership privilege is unused under the lease strategy.</w:t>
            </w:r>
          </w:p>
        </w:tc>
      </w:tr>
      <w:tr>
        <w:trPr>
          <w:cantSplit/>
        </w:trPr>
        <w:tc>
          <w:tcPr>
            <w:tcW w:type="dxa" w:w="3288"/>
          </w:tcPr>
          <w:p>
            <w:pPr>
              <w:spacing w:after="20" w:before="20"/>
            </w:pPr>
            <w:r/>
            <w:r>
              <w:rPr>
                <w:sz w:val="18"/>
              </w:rPr>
              <w:t>Visas and work permits via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(alternative-energy, 2025)</w:t>
            </w:r>
          </w:p>
        </w:tc>
        <w:tc>
          <w:tcPr>
            <w:tcW w:type="dxa" w:w="6350"/>
          </w:tcPr>
          <w:p>
            <w:pPr>
              <w:spacing w:after="20" w:before="20"/>
            </w:pPr>
            <w:r/>
            <w:r>
              <w:rPr>
                <w:sz w:val="18"/>
              </w:rPr>
              <w:t>CIT exemption based on the solar investment; PV modules, inverters, battery and mounting explicitly eligible. The planned installation converts directly into tax-exemption headroom.</w:t>
            </w:r>
          </w:p>
        </w:tc>
      </w:tr>
      <w:tr>
        <w:trPr>
          <w:cantSplit/>
        </w:trPr>
        <w:tc>
          <w:tcPr>
            <w:tcW w:type="dxa" w:w="3288"/>
            <w:shd w:val="clear" w:color="auto" w:fill="F2F5FA"/>
          </w:tcPr>
          <w:p>
            <w:pPr>
              <w:spacing w:after="20" w:before="20"/>
            </w:pPr>
            <w:r/>
            <w:r>
              <w:rPr>
                <w:sz w:val="18"/>
              </w:rPr>
              <w:t>Smart and Sustainable Industry upgrade measure</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spend. The automatic presses,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Galvanics process development, recycled-PVC work and the audio-QC system could be framed as qualifying development.</w:t>
            </w:r>
          </w:p>
        </w:tc>
      </w:tr>
    </w:tbl>
    <w:p>
      <w:pPr>
        <w:spacing w:after="40"/>
      </w:pPr>
    </w:p>
    <w:p>
      <w:r>
        <w:rPr>
          <w:b/>
        </w:rPr>
        <w:t>Requirements:</w:t>
      </w:r>
      <w:r>
        <w:rPr/>
        <w:t xml:space="preserve"> minimum THB 1M investment excluding land and working capital (cleared by the first press line alone); debt-to-equity no higher than 3:1 for the life of the privileges, which shapes the financing mix; modern machinery and process; progress reporting. BOI promotion does not replace the factory licence (Ror.Ngor. 4), boiler registration, hazardous-substance registration for the plating chemistry, or wastewater permitting. The galvanics effluent is the most likely regulatory friction point regardless of BOI, which is one argument for the industrial estate's shared treatment.</w:t>
      </w:r>
    </w:p>
    <w:p>
      <w:r>
        <w:rPr>
          <w:b/>
        </w:rPr>
        <w:t>Process:</w:t>
      </w:r>
      <w:r>
        <w:rPr/>
        <w:t xml:space="preserve"> file via the e-Investment system and present at an analyst meeting; decision in about 40 working days for projects under THB 200M, roughly 4 to 6 months end to end to the certificate; incorporate the company under it; import machinery within a window commonly 30 months from issuance; reach full operation by about 36 months. The Northern Economic Corridor (Chiang Mai, Lamphun, Lampang) is promoted as a creative-economy base, which a music manufacturing story fits; current area add-ons must be confirmed with BOI directly.</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Two things to settle before filing</w:t>
            </w:r>
          </w:p>
          <w:p>
            <w:pPr>
              <w:spacing w:after="60"/>
              <w:ind w:left="227"/>
            </w:pPr>
            <w:r>
              <w:rPr>
                <w:sz w:val="20"/>
              </w:rPr>
              <w:t xml:space="preserve">•  </w:t>
            </w:r>
            <w:r>
              <w:rPr>
                <w:b/>
                <w:sz w:val="20"/>
              </w:rPr>
              <w:t>Scope.</w:t>
            </w:r>
            <w:r>
              <w:rPr>
                <w:sz w:val="20"/>
              </w:rPr>
              <w:t xml:space="preserve"> Cassette duplication and CD-R duplication should be in the application from the start. CD replication is a separate activity code and cannot be added casually afterwards; the investor's decision on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a press can be ordered with a deposit while the application is in review, provided it clears customs after issuance, the launch pulls forward by 6 to 9 months.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Blocks marked 'estimate' have no vendor confirmation; the rest trace to quotes or researched ranges. Treat all figures as budgetary with a wide margin (plus or minus 30 to 50% on the estimates) until requests for quotation replace them. Land is now a lease and is removed from capital; cassette and CD-R duplication are added.</w:t>
      </w:r>
    </w:p>
    <w:p>
      <w:pPr>
        <w:pStyle w:val="Heading2"/>
      </w:pPr>
      <w:r>
        <w:t>8.1 Full vision, all blocks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Newbilt semi-automatic line, full Duplex</w:t>
            </w:r>
          </w:p>
        </w:tc>
        <w:tc>
          <w:tcPr>
            <w:tcW w:type="dxa" w:w="1701"/>
          </w:tcPr>
          <w:p>
            <w:pPr>
              <w:spacing w:after="20" w:before="20"/>
            </w:pPr>
            <w:r/>
            <w:r>
              <w:rPr>
                <w:sz w:val="17"/>
              </w:rPr>
              <w:t>350k to 370k</w:t>
            </w:r>
          </w:p>
        </w:tc>
        <w:tc>
          <w:tcPr>
            <w:tcW w:type="dxa" w:w="1701"/>
          </w:tcPr>
          <w:p>
            <w:pPr>
              <w:spacing w:after="20" w:before="20"/>
            </w:pPr>
            <w:r/>
            <w:r>
              <w:rPr>
                <w:sz w:val="17"/>
              </w:rPr>
              <w:t>11.5M to 12.2M</w:t>
            </w:r>
          </w:p>
        </w:tc>
        <w:tc>
          <w:tcPr>
            <w:tcW w:type="dxa" w:w="3288"/>
          </w:tcPr>
          <w:p>
            <w:pPr>
              <w:spacing w:after="20" w:before="20"/>
            </w:pPr>
            <w:r/>
            <w:r>
              <w:rPr>
                <w:sz w:val="17"/>
              </w:rPr>
              <w:t>Quoted: 2024 offer EUR 200,500 (~USD 232k) plus quoted second press and extruder ~USD 115k; expired, re-quote required</w:t>
            </w:r>
          </w:p>
        </w:tc>
      </w:tr>
      <w:tr>
        <w:trPr>
          <w:cantSplit/>
        </w:trPr>
        <w:tc>
          <w:tcPr>
            <w:tcW w:type="dxa" w:w="2948"/>
            <w:shd w:val="clear" w:color="auto" w:fill="F2F5FA"/>
          </w:tcPr>
          <w:p>
            <w:pPr>
              <w:spacing w:after="20" w:before="20"/>
            </w:pPr>
            <w:r/>
            <w:r>
              <w:rPr>
                <w:sz w:val="17"/>
              </w:rPr>
              <w:t>Two fully automatic presses</w:t>
            </w:r>
          </w:p>
        </w:tc>
        <w:tc>
          <w:tcPr>
            <w:tcW w:type="dxa" w:w="1701"/>
            <w:shd w:val="clear" w:color="auto" w:fill="F2F5FA"/>
          </w:tcPr>
          <w:p>
            <w:pPr>
              <w:spacing w:after="20" w:before="20"/>
            </w:pPr>
            <w:r/>
            <w:r>
              <w:rPr>
                <w:sz w:val="17"/>
              </w:rPr>
              <w:t>580k to 920k</w:t>
            </w:r>
          </w:p>
        </w:tc>
        <w:tc>
          <w:tcPr>
            <w:tcW w:type="dxa" w:w="1701"/>
            <w:shd w:val="clear" w:color="auto" w:fill="F2F5FA"/>
          </w:tcPr>
          <w:p>
            <w:pPr>
              <w:spacing w:after="20" w:before="20"/>
            </w:pPr>
            <w:r/>
            <w:r>
              <w:rPr>
                <w:sz w:val="17"/>
              </w:rPr>
              <w:t>19.1M to 30.5M</w:t>
            </w:r>
          </w:p>
        </w:tc>
        <w:tc>
          <w:tcPr>
            <w:tcW w:type="dxa" w:w="3288"/>
            <w:shd w:val="clear" w:color="auto" w:fill="F2F5FA"/>
          </w:tcPr>
          <w:p>
            <w:pPr>
              <w:spacing w:after="20" w:before="20"/>
            </w:pPr>
            <w:r/>
            <w:r>
              <w:rPr>
                <w:sz w:val="17"/>
              </w:rPr>
              <w:t>Estimate: ~USD 340k per press indicative, unverified, plus delivery and commissioning</w:t>
            </w:r>
          </w:p>
        </w:tc>
      </w:tr>
      <w:tr>
        <w:trPr>
          <w:cantSplit/>
        </w:trPr>
        <w:tc>
          <w:tcPr>
            <w:tcW w:type="dxa" w:w="2948"/>
          </w:tcPr>
          <w:p>
            <w:pPr>
              <w:spacing w:after="20" w:before="20"/>
            </w:pPr>
            <w:r/>
            <w:r>
              <w:rPr>
                <w:sz w:val="17"/>
              </w:rPr>
              <w:t>Galvanics line (Digital Matrix)</w:t>
            </w:r>
          </w:p>
        </w:tc>
        <w:tc>
          <w:tcPr>
            <w:tcW w:type="dxa" w:w="1701"/>
          </w:tcPr>
          <w:p>
            <w:pPr>
              <w:spacing w:after="20" w:before="20"/>
            </w:pPr>
            <w:r/>
            <w:r>
              <w:rPr>
                <w:sz w:val="17"/>
              </w:rPr>
              <w:t>320k to 650k</w:t>
            </w:r>
          </w:p>
        </w:tc>
        <w:tc>
          <w:tcPr>
            <w:tcW w:type="dxa" w:w="1701"/>
          </w:tcPr>
          <w:p>
            <w:pPr>
              <w:spacing w:after="20" w:before="20"/>
            </w:pPr>
            <w:r/>
            <w:r>
              <w:rPr>
                <w:sz w:val="17"/>
              </w:rPr>
              <w:t>10.7M to 21.4M</w:t>
            </w:r>
          </w:p>
        </w:tc>
        <w:tc>
          <w:tcPr>
            <w:tcW w:type="dxa" w:w="3288"/>
          </w:tcPr>
          <w:p>
            <w:pPr>
              <w:spacing w:after="20" w:before="20"/>
            </w:pPr>
            <w:r/>
            <w:r>
              <w:rPr>
                <w:sz w:val="17"/>
              </w:rPr>
              <w:t>Estimate: six-figure turnkey inference from vendor research</w:t>
            </w:r>
          </w:p>
        </w:tc>
      </w:tr>
      <w:tr>
        <w:trPr>
          <w:cantSplit/>
        </w:trPr>
        <w:tc>
          <w:tcPr>
            <w:tcW w:type="dxa" w:w="2948"/>
            <w:shd w:val="clear" w:color="auto" w:fill="F2F5FA"/>
          </w:tcPr>
          <w:p>
            <w:pPr>
              <w:spacing w:after="20" w:before="20"/>
            </w:pPr>
            <w:r/>
            <w:r>
              <w:rPr>
                <w:sz w:val="17"/>
              </w:rPr>
              <w:t>Zero-discharge water treatment</w:t>
            </w:r>
          </w:p>
        </w:tc>
        <w:tc>
          <w:tcPr>
            <w:tcW w:type="dxa" w:w="1701"/>
            <w:shd w:val="clear" w:color="auto" w:fill="F2F5FA"/>
          </w:tcPr>
          <w:p>
            <w:pPr>
              <w:spacing w:after="20" w:before="20"/>
            </w:pPr>
            <w:r/>
            <w:r>
              <w:rPr>
                <w:sz w:val="17"/>
              </w:rPr>
              <w:t>90k to 240k</w:t>
            </w:r>
          </w:p>
        </w:tc>
        <w:tc>
          <w:tcPr>
            <w:tcW w:type="dxa" w:w="1701"/>
            <w:shd w:val="clear" w:color="auto" w:fill="F2F5FA"/>
          </w:tcPr>
          <w:p>
            <w:pPr>
              <w:spacing w:after="20" w:before="20"/>
            </w:pPr>
            <w:r/>
            <w:r>
              <w:rPr>
                <w:sz w:val="17"/>
              </w:rPr>
              <w:t>3.0M to 8.0M</w:t>
            </w:r>
          </w:p>
        </w:tc>
        <w:tc>
          <w:tcPr>
            <w:tcW w:type="dxa" w:w="3288"/>
            <w:shd w:val="clear" w:color="auto" w:fill="F2F5FA"/>
          </w:tcPr>
          <w:p>
            <w:pPr>
              <w:spacing w:after="20" w:before="20"/>
            </w:pPr>
            <w:r/>
            <w:r>
              <w:rPr>
                <w:sz w:val="17"/>
              </w:rPr>
              <w:t>Researched: utilities option row</w:t>
            </w:r>
          </w:p>
        </w:tc>
      </w:tr>
      <w:tr>
        <w:trPr>
          <w:cantSplit/>
        </w:trPr>
        <w:tc>
          <w:tcPr>
            <w:tcW w:type="dxa" w:w="2948"/>
          </w:tcPr>
          <w:p>
            <w:pPr>
              <w:spacing w:after="20" w:before="20"/>
            </w:pPr>
            <w:r/>
            <w:r>
              <w:rPr>
                <w:sz w:val="17"/>
              </w:rPr>
              <w:t>Stamper preparation (Sibert)</w:t>
            </w:r>
          </w:p>
        </w:tc>
        <w:tc>
          <w:tcPr>
            <w:tcW w:type="dxa" w:w="1701"/>
          </w:tcPr>
          <w:p>
            <w:pPr>
              <w:spacing w:after="20" w:before="20"/>
            </w:pPr>
            <w:r/>
            <w:r>
              <w:rPr>
                <w:sz w:val="17"/>
              </w:rPr>
              <w:t>60k to 170k</w:t>
            </w:r>
          </w:p>
        </w:tc>
        <w:tc>
          <w:tcPr>
            <w:tcW w:type="dxa" w:w="1701"/>
          </w:tcPr>
          <w:p>
            <w:pPr>
              <w:spacing w:after="20" w:before="20"/>
            </w:pPr>
            <w:r/>
            <w:r>
              <w:rPr>
                <w:sz w:val="17"/>
              </w:rPr>
              <w:t>1.9M to 5.7M</w:t>
            </w:r>
          </w:p>
        </w:tc>
        <w:tc>
          <w:tcPr>
            <w:tcW w:type="dxa" w:w="3288"/>
          </w:tcPr>
          <w:p>
            <w:pPr>
              <w:spacing w:after="20" w:before="20"/>
            </w:pPr>
            <w:r/>
            <w:r>
              <w:rPr>
                <w:sz w:val="17"/>
              </w:rPr>
              <w:t>Estimate, pricing unpublished</w:t>
            </w:r>
          </w:p>
        </w:tc>
      </w:tr>
      <w:tr>
        <w:trPr>
          <w:cantSplit/>
        </w:trPr>
        <w:tc>
          <w:tcPr>
            <w:tcW w:type="dxa" w:w="2948"/>
            <w:shd w:val="clear" w:color="auto" w:fill="F2F5FA"/>
          </w:tcPr>
          <w:p>
            <w:pPr>
              <w:spacing w:after="20" w:before="20"/>
            </w:pPr>
            <w:r/>
            <w:r>
              <w:rPr>
                <w:sz w:val="17"/>
              </w:rPr>
              <w:t>Mastering and cutting room</w:t>
            </w:r>
          </w:p>
        </w:tc>
        <w:tc>
          <w:tcPr>
            <w:tcW w:type="dxa" w:w="1701"/>
            <w:shd w:val="clear" w:color="auto" w:fill="F2F5FA"/>
          </w:tcPr>
          <w:p>
            <w:pPr>
              <w:spacing w:after="20" w:before="20"/>
            </w:pPr>
            <w:r/>
            <w:r>
              <w:rPr>
                <w:sz w:val="17"/>
              </w:rPr>
              <w:t>290k to 580k</w:t>
            </w:r>
          </w:p>
        </w:tc>
        <w:tc>
          <w:tcPr>
            <w:tcW w:type="dxa" w:w="1701"/>
            <w:shd w:val="clear" w:color="auto" w:fill="F2F5FA"/>
          </w:tcPr>
          <w:p>
            <w:pPr>
              <w:spacing w:after="20" w:before="20"/>
            </w:pPr>
            <w:r/>
            <w:r>
              <w:rPr>
                <w:sz w:val="17"/>
              </w:rPr>
              <w:t>9.6M to 19.1M</w:t>
            </w:r>
          </w:p>
        </w:tc>
        <w:tc>
          <w:tcPr>
            <w:tcW w:type="dxa" w:w="3288"/>
            <w:shd w:val="clear" w:color="auto" w:fill="F2F5FA"/>
          </w:tcPr>
          <w:p>
            <w:pPr>
              <w:spacing w:after="20" w:before="20"/>
            </w:pPr>
            <w:r/>
            <w:r>
              <w:rPr>
                <w:sz w:val="17"/>
              </w:rPr>
              <w:t>Estimate, bespoke market</w:t>
            </w:r>
          </w:p>
        </w:tc>
      </w:tr>
      <w:tr>
        <w:trPr>
          <w:cantSplit/>
        </w:trPr>
        <w:tc>
          <w:tcPr>
            <w:tcW w:type="dxa" w:w="2948"/>
          </w:tcPr>
          <w:p>
            <w:pPr>
              <w:spacing w:after="20" w:before="20"/>
            </w:pPr>
            <w:r/>
            <w:r>
              <w:rPr>
                <w:sz w:val="17"/>
              </w:rPr>
              <w:t>Metrology and QC stack</w:t>
            </w:r>
          </w:p>
        </w:tc>
        <w:tc>
          <w:tcPr>
            <w:tcW w:type="dxa" w:w="1701"/>
          </w:tcPr>
          <w:p>
            <w:pPr>
              <w:spacing w:after="20" w:before="20"/>
            </w:pPr>
            <w:r/>
            <w:r>
              <w:rPr>
                <w:sz w:val="17"/>
              </w:rPr>
              <w:t>350k to 810k</w:t>
            </w:r>
          </w:p>
        </w:tc>
        <w:tc>
          <w:tcPr>
            <w:tcW w:type="dxa" w:w="1701"/>
          </w:tcPr>
          <w:p>
            <w:pPr>
              <w:spacing w:after="20" w:before="20"/>
            </w:pPr>
            <w:r/>
            <w:r>
              <w:rPr>
                <w:sz w:val="17"/>
              </w:rPr>
              <w:t>11.5M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Utilities, solar, battery, HVAC, racking baseline</w:t>
            </w:r>
          </w:p>
        </w:tc>
        <w:tc>
          <w:tcPr>
            <w:tcW w:type="dxa" w:w="1701"/>
            <w:shd w:val="clear" w:color="auto" w:fill="F2F5FA"/>
          </w:tcPr>
          <w:p>
            <w:pPr>
              <w:spacing w:after="20" w:before="20"/>
            </w:pPr>
            <w:r/>
            <w:r>
              <w:rPr>
                <w:sz w:val="17"/>
              </w:rPr>
              <w:t>730k to 1,270k</w:t>
            </w:r>
          </w:p>
        </w:tc>
        <w:tc>
          <w:tcPr>
            <w:tcW w:type="dxa" w:w="1701"/>
            <w:shd w:val="clear" w:color="auto" w:fill="F2F5FA"/>
          </w:tcPr>
          <w:p>
            <w:pPr>
              <w:spacing w:after="20" w:before="20"/>
            </w:pPr>
            <w:r/>
            <w:r>
              <w:rPr>
                <w:sz w:val="17"/>
              </w:rPr>
              <w:t>24.0M to 41.6M</w:t>
            </w:r>
          </w:p>
        </w:tc>
        <w:tc>
          <w:tcPr>
            <w:tcW w:type="dxa" w:w="3288"/>
            <w:shd w:val="clear" w:color="auto" w:fill="F2F5FA"/>
          </w:tcPr>
          <w:p>
            <w:pPr>
              <w:spacing w:after="20" w:before="20"/>
            </w:pPr>
            <w:r/>
            <w:r>
              <w:rPr>
                <w:sz w:val="17"/>
              </w:rPr>
              <w:t>Researched: Thai supplier ranges, THB-native, plus or minus 30%</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36.2M</w:t>
            </w:r>
          </w:p>
        </w:tc>
        <w:tc>
          <w:tcPr>
            <w:tcW w:type="dxa" w:w="3288"/>
          </w:tcPr>
          <w:p>
            <w:pPr>
              <w:spacing w:after="20" w:before="20"/>
            </w:pPr>
            <w:r/>
            <w:r>
              <w:rPr>
                <w:sz w:val="17"/>
              </w:rPr>
              <w:t>Estimate at 12,000 to 20,000 THB/m² plus ~20% site works; RFQ ready</w:t>
            </w:r>
          </w:p>
        </w:tc>
      </w:tr>
      <w:tr>
        <w:trPr>
          <w:cantSplit/>
        </w:trPr>
        <w:tc>
          <w:tcPr>
            <w:tcW w:type="dxa" w:w="2948"/>
            <w:shd w:val="clear" w:color="auto" w:fill="F2F5FA"/>
          </w:tcPr>
          <w:p>
            <w:pPr>
              <w:spacing w:after="20" w:before="20"/>
            </w:pPr>
            <w:r/>
            <w:r>
              <w:rPr>
                <w:sz w:val="17"/>
              </w:rPr>
              <w:t>Land</w:t>
            </w:r>
          </w:p>
        </w:tc>
        <w:tc>
          <w:tcPr>
            <w:tcW w:type="dxa" w:w="1701"/>
            <w:shd w:val="clear" w:color="auto" w:fill="F2F5FA"/>
          </w:tcPr>
          <w:p>
            <w:pPr>
              <w:spacing w:after="20" w:before="20"/>
            </w:pPr>
            <w:r/>
            <w:r>
              <w:rPr>
                <w:sz w:val="17"/>
              </w:rPr>
              <w:t>0 (leased)</w:t>
            </w:r>
          </w:p>
        </w:tc>
        <w:tc>
          <w:tcPr>
            <w:tcW w:type="dxa" w:w="1701"/>
            <w:shd w:val="clear" w:color="auto" w:fill="F2F5FA"/>
          </w:tcPr>
          <w:p>
            <w:pPr>
              <w:spacing w:after="20" w:before="20"/>
            </w:pPr>
            <w:r/>
            <w:r>
              <w:rPr>
                <w:sz w:val="17"/>
              </w:rPr>
              <w:t>0</w:t>
            </w:r>
          </w:p>
        </w:tc>
        <w:tc>
          <w:tcPr>
            <w:tcW w:type="dxa" w:w="3288"/>
            <w:shd w:val="clear" w:color="auto" w:fill="F2F5FA"/>
          </w:tcPr>
          <w:p>
            <w:pPr>
              <w:spacing w:after="20" w:before="20"/>
            </w:pPr>
            <w:r/>
            <w:r>
              <w:rPr>
                <w:sz w:val="17"/>
              </w:rPr>
              <w:t>Was 360k to 970k for purchase; rent moves to operating cost</w:t>
            </w:r>
          </w:p>
        </w:tc>
      </w:tr>
      <w:tr>
        <w:trPr>
          <w:cantSplit/>
        </w:trPr>
        <w:tc>
          <w:tcPr>
            <w:tcW w:type="dxa" w:w="2948"/>
          </w:tcPr>
          <w:p>
            <w:pPr>
              <w:spacing w:after="20" w:before="20"/>
            </w:pPr>
            <w:r/>
            <w:r>
              <w:rPr>
                <w:sz w:val="17"/>
              </w:rPr>
              <w:t>Cassette duplication line</w:t>
            </w:r>
          </w:p>
        </w:tc>
        <w:tc>
          <w:tcPr>
            <w:tcW w:type="dxa" w:w="1701"/>
          </w:tcPr>
          <w:p>
            <w:pPr>
              <w:spacing w:after="20" w:before="20"/>
            </w:pPr>
            <w:r/>
            <w:r>
              <w:rPr>
                <w:sz w:val="17"/>
              </w:rPr>
              <w:t>40k to 150k</w:t>
            </w:r>
          </w:p>
        </w:tc>
        <w:tc>
          <w:tcPr>
            <w:tcW w:type="dxa" w:w="1701"/>
          </w:tcPr>
          <w:p>
            <w:pPr>
              <w:spacing w:after="20" w:before="20"/>
            </w:pPr>
            <w:r/>
            <w:r>
              <w:rPr>
                <w:sz w:val="17"/>
              </w:rPr>
              <w:t>1.3M to 5.0M</w:t>
            </w:r>
          </w:p>
        </w:tc>
        <w:tc>
          <w:tcPr>
            <w:tcW w:type="dxa" w:w="3288"/>
          </w:tcPr>
          <w:p>
            <w:pPr>
              <w:spacing w:after="20" w:before="20"/>
            </w:pPr>
            <w:r/>
            <w:r>
              <w:rPr>
                <w:sz w:val="17"/>
              </w:rPr>
              <w:t>Estimate, section 4.8</w:t>
            </w:r>
          </w:p>
        </w:tc>
      </w:tr>
      <w:tr>
        <w:trPr>
          <w:cantSplit/>
        </w:trPr>
        <w:tc>
          <w:tcPr>
            <w:tcW w:type="dxa" w:w="2948"/>
            <w:shd w:val="clear" w:color="auto" w:fill="F2F5FA"/>
          </w:tcPr>
          <w:p>
            <w:pPr>
              <w:spacing w:after="20" w:before="20"/>
            </w:pPr>
            <w:r/>
            <w:r>
              <w:rPr>
                <w:sz w:val="17"/>
              </w:rPr>
              <w:t>CD-R duplication</w:t>
            </w:r>
          </w:p>
        </w:tc>
        <w:tc>
          <w:tcPr>
            <w:tcW w:type="dxa" w:w="1701"/>
            <w:shd w:val="clear" w:color="auto" w:fill="F2F5FA"/>
          </w:tcPr>
          <w:p>
            <w:pPr>
              <w:spacing w:after="20" w:before="20"/>
            </w:pPr>
            <w:r/>
            <w:r>
              <w:rPr>
                <w:sz w:val="17"/>
              </w:rPr>
              <w:t>15k to 40k</w:t>
            </w:r>
          </w:p>
        </w:tc>
        <w:tc>
          <w:tcPr>
            <w:tcW w:type="dxa" w:w="1701"/>
            <w:shd w:val="clear" w:color="auto" w:fill="F2F5FA"/>
          </w:tcPr>
          <w:p>
            <w:pPr>
              <w:spacing w:after="20" w:before="20"/>
            </w:pPr>
            <w:r/>
            <w:r>
              <w:rPr>
                <w:sz w:val="17"/>
              </w:rPr>
              <w:t>0.5M to 1.3M</w:t>
            </w:r>
          </w:p>
        </w:tc>
        <w:tc>
          <w:tcPr>
            <w:tcW w:type="dxa" w:w="3288"/>
            <w:shd w:val="clear" w:color="auto" w:fill="F2F5FA"/>
          </w:tcPr>
          <w:p>
            <w:pPr>
              <w:spacing w:after="20" w:before="20"/>
            </w:pPr>
            <w:r/>
            <w:r>
              <w:rPr>
                <w:sz w:val="17"/>
              </w:rPr>
              <w:t>Estimate, section 4.9 option A</w:t>
            </w:r>
          </w:p>
        </w:tc>
      </w:tr>
      <w:tr>
        <w:trPr>
          <w:cantSplit/>
        </w:trPr>
        <w:tc>
          <w:tcPr>
            <w:tcW w:type="dxa" w:w="2948"/>
          </w:tcPr>
          <w:p>
            <w:pPr>
              <w:spacing w:after="20" w:before="20"/>
            </w:pPr>
            <w:r/>
            <w:r>
              <w:rPr>
                <w:sz w:val="17"/>
              </w:rPr>
              <w:t>Traceability and factory software</w:t>
            </w:r>
          </w:p>
        </w:tc>
        <w:tc>
          <w:tcPr>
            <w:tcW w:type="dxa" w:w="1701"/>
          </w:tcPr>
          <w:p>
            <w:pPr>
              <w:spacing w:after="20" w:before="20"/>
            </w:pPr>
            <w:r/>
            <w:r>
              <w:rPr>
                <w:sz w:val="17"/>
              </w:rPr>
              <w:t>60k to 170k</w:t>
            </w:r>
          </w:p>
        </w:tc>
        <w:tc>
          <w:tcPr>
            <w:tcW w:type="dxa" w:w="1701"/>
          </w:tcPr>
          <w:p>
            <w:pPr>
              <w:spacing w:after="20" w:before="20"/>
            </w:pPr>
            <w:r/>
            <w:r>
              <w:rPr>
                <w:sz w:val="17"/>
              </w:rPr>
              <w:t>1.9M to 5.7M</w:t>
            </w:r>
          </w:p>
        </w:tc>
        <w:tc>
          <w:tcPr>
            <w:tcW w:type="dxa" w:w="3288"/>
          </w:tcPr>
          <w:p>
            <w:pPr>
              <w:spacing w:after="20" w:before="20"/>
            </w:pPr>
            <w:r/>
            <w:r>
              <w:rPr>
                <w:sz w:val="17"/>
              </w:rPr>
              <w:t>Estimate, development project</w:t>
            </w:r>
          </w:p>
        </w:tc>
      </w:tr>
      <w:tr>
        <w:trPr>
          <w:cantSplit/>
        </w:trPr>
        <w:tc>
          <w:tcPr>
            <w:tcW w:type="dxa" w:w="2948"/>
            <w:shd w:val="clear" w:color="auto" w:fill="F2F5FA"/>
          </w:tcPr>
          <w:p>
            <w:pPr>
              <w:spacing w:after="20" w:before="20"/>
            </w:pPr>
            <w:r/>
            <w:r>
              <w:rPr>
                <w:sz w:val="17"/>
              </w:rPr>
              <w:t>Freight, installation, training (non-Newbilt)</w:t>
            </w:r>
          </w:p>
        </w:tc>
        <w:tc>
          <w:tcPr>
            <w:tcW w:type="dxa" w:w="1701"/>
            <w:shd w:val="clear" w:color="auto" w:fill="F2F5FA"/>
          </w:tcPr>
          <w:p>
            <w:pPr>
              <w:spacing w:after="20" w:before="20"/>
            </w:pPr>
            <w:r/>
            <w:r>
              <w:rPr>
                <w:sz w:val="17"/>
              </w:rPr>
              <w:t>120k to 230k</w:t>
            </w:r>
          </w:p>
        </w:tc>
        <w:tc>
          <w:tcPr>
            <w:tcW w:type="dxa" w:w="1701"/>
            <w:shd w:val="clear" w:color="auto" w:fill="F2F5FA"/>
          </w:tcPr>
          <w:p>
            <w:pPr>
              <w:spacing w:after="20" w:before="20"/>
            </w:pPr>
            <w:r/>
            <w:r>
              <w:rPr>
                <w:sz w:val="17"/>
              </w:rPr>
              <w:t>3.8M to 7.6M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w:t>
            </w:r>
          </w:p>
        </w:tc>
        <w:tc>
          <w:tcPr>
            <w:tcW w:type="dxa" w:w="1701"/>
          </w:tcPr>
          <w:p>
            <w:pPr>
              <w:spacing w:after="20" w:before="20"/>
            </w:pPr>
            <w:r/>
            <w:r>
              <w:rPr>
                <w:sz w:val="17"/>
              </w:rPr>
              <w:t>135k to 290k</w:t>
            </w:r>
          </w:p>
        </w:tc>
        <w:tc>
          <w:tcPr>
            <w:tcW w:type="dxa" w:w="1701"/>
          </w:tcPr>
          <w:p>
            <w:pPr>
              <w:spacing w:after="20" w:before="20"/>
            </w:pPr>
            <w:r/>
            <w:r>
              <w:rPr>
                <w:sz w:val="17"/>
              </w:rPr>
              <w:t>4.5M to 9.6M</w:t>
            </w:r>
          </w:p>
        </w:tc>
        <w:tc>
          <w:tcPr>
            <w:tcW w:type="dxa" w:w="3288"/>
          </w:tcPr>
          <w:p>
            <w:pPr>
              <w:spacing w:after="20" w:before="20"/>
            </w:pPr>
            <w:r/>
            <w:r>
              <w:rPr>
                <w:sz w:val="17"/>
              </w:rPr>
              <w:t>Estimate; includes lease deposit and first-year rent</w:t>
            </w:r>
          </w:p>
        </w:tc>
      </w:tr>
      <w:tr>
        <w:trPr>
          <w:cantSplit/>
        </w:trPr>
        <w:tc>
          <w:tcPr>
            <w:tcW w:type="dxa" w:w="2948"/>
            <w:shd w:val="clear" w:color="auto" w:fill="F2F5FA"/>
          </w:tcPr>
          <w:p>
            <w:pPr>
              <w:spacing w:after="20" w:before="20"/>
            </w:pPr>
            <w:r/>
            <w:r>
              <w:rPr>
                <w:sz w:val="17"/>
              </w:rPr>
              <w:t>Subtotal</w:t>
            </w:r>
          </w:p>
        </w:tc>
        <w:tc>
          <w:tcPr>
            <w:tcW w:type="dxa" w:w="1701"/>
            <w:shd w:val="clear" w:color="auto" w:fill="F2F5FA"/>
          </w:tcPr>
          <w:p>
            <w:pPr>
              <w:spacing w:after="20" w:before="20"/>
            </w:pPr>
            <w:r/>
            <w:r>
              <w:rPr>
                <w:sz w:val="17"/>
              </w:rPr>
              <w:t>~3.8M to 7.0M</w:t>
            </w:r>
          </w:p>
        </w:tc>
        <w:tc>
          <w:tcPr>
            <w:tcW w:type="dxa" w:w="1701"/>
            <w:shd w:val="clear" w:color="auto" w:fill="F2F5FA"/>
          </w:tcPr>
          <w:p>
            <w:pPr>
              <w:spacing w:after="20" w:before="20"/>
            </w:pPr>
            <w:r/>
            <w:r>
              <w:rPr>
                <w:sz w:val="17"/>
              </w:rPr>
              <w:t>~125M to 231M</w:t>
            </w:r>
          </w:p>
        </w:tc>
        <w:tc>
          <w:tcPr>
            <w:tcW w:type="dxa" w:w="3288"/>
            <w:shd w:val="clear" w:color="auto" w:fill="F2F5FA"/>
          </w:tcPr>
          <w:p>
            <w:pPr>
              <w:spacing w:after="20" w:before="20"/>
            </w:pPr>
            <w:r/>
          </w:p>
        </w:tc>
      </w:tr>
      <w:tr>
        <w:trPr>
          <w:cantSplit/>
        </w:trPr>
        <w:tc>
          <w:tcPr>
            <w:tcW w:type="dxa" w:w="2948"/>
          </w:tcPr>
          <w:p>
            <w:pPr>
              <w:spacing w:after="20" w:before="20"/>
            </w:pPr>
            <w:r/>
            <w:r>
              <w:rPr>
                <w:sz w:val="17"/>
              </w:rPr>
              <w:t>Contingency 15%</w:t>
            </w:r>
          </w:p>
        </w:tc>
        <w:tc>
          <w:tcPr>
            <w:tcW w:type="dxa" w:w="1701"/>
          </w:tcPr>
          <w:p>
            <w:pPr>
              <w:spacing w:after="20" w:before="20"/>
            </w:pPr>
            <w:r/>
            <w:r>
              <w:rPr>
                <w:sz w:val="17"/>
              </w:rPr>
              <w:t>~0.6M to 1.0M</w:t>
            </w:r>
          </w:p>
        </w:tc>
        <w:tc>
          <w:tcPr>
            <w:tcW w:type="dxa" w:w="1701"/>
          </w:tcPr>
          <w:p>
            <w:pPr>
              <w:spacing w:after="20" w:before="20"/>
            </w:pPr>
            <w:r/>
            <w:r>
              <w:rPr>
                <w:sz w:val="17"/>
              </w:rPr>
              <w:t>~19M to 35M</w:t>
            </w:r>
          </w:p>
        </w:tc>
        <w:tc>
          <w:tcPr>
            <w:tcW w:type="dxa" w:w="3288"/>
          </w:tcPr>
          <w:p>
            <w:pPr>
              <w:spacing w:after="20" w:before="20"/>
            </w:pPr>
            <w:r/>
          </w:p>
        </w:tc>
      </w:tr>
      <w:tr>
        <w:trPr>
          <w:cantSplit/>
        </w:trPr>
        <w:tc>
          <w:tcPr>
            <w:tcW w:type="dxa" w:w="2948"/>
            <w:shd w:val="clear" w:color="auto" w:fill="F2F5FA"/>
          </w:tcPr>
          <w:p>
            <w:pPr>
              <w:spacing w:after="20" w:before="20"/>
            </w:pPr>
            <w:r/>
            <w:r>
              <w:rPr>
                <w:b/>
                <w:sz w:val="17"/>
              </w:rPr>
              <w:t>Total, full vision</w:t>
            </w:r>
          </w:p>
        </w:tc>
        <w:tc>
          <w:tcPr>
            <w:tcW w:type="dxa" w:w="1701"/>
            <w:shd w:val="clear" w:color="auto" w:fill="F2F5FA"/>
          </w:tcPr>
          <w:p>
            <w:pPr>
              <w:spacing w:after="20" w:before="20"/>
            </w:pPr>
            <w:r/>
            <w:r>
              <w:rPr>
                <w:b/>
                <w:sz w:val="17"/>
              </w:rPr>
              <w:t>~4.4M to 8.0M</w:t>
            </w:r>
          </w:p>
        </w:tc>
        <w:tc>
          <w:tcPr>
            <w:tcW w:type="dxa" w:w="1701"/>
            <w:shd w:val="clear" w:color="auto" w:fill="F2F5FA"/>
          </w:tcPr>
          <w:p>
            <w:pPr>
              <w:spacing w:after="20" w:before="20"/>
            </w:pPr>
            <w:r/>
            <w:r>
              <w:rPr>
                <w:b/>
                <w:sz w:val="17"/>
              </w:rPr>
              <w:t>~144M to 264M</w:t>
            </w:r>
          </w:p>
        </w:tc>
        <w:tc>
          <w:tcPr>
            <w:tcW w:type="dxa" w:w="3288"/>
            <w:shd w:val="clear" w:color="auto" w:fill="F2F5FA"/>
          </w:tcPr>
          <w:p>
            <w:pPr>
              <w:spacing w:after="20" w:before="20"/>
            </w:pPr>
            <w:r/>
            <w:r>
              <w:rPr>
                <w:sz w:val="17"/>
              </w:rPr>
              <w:t>Before the lease decision: 4.7M to 8.9M</w:t>
            </w:r>
          </w:p>
        </w:tc>
      </w:tr>
      <w:tr>
        <w:trPr>
          <w:cantSplit/>
        </w:trPr>
        <w:tc>
          <w:tcPr>
            <w:tcW w:type="dxa" w:w="2948"/>
          </w:tcPr>
          <w:p>
            <w:pPr>
              <w:spacing w:after="20" w:before="20"/>
            </w:pPr>
            <w:r/>
            <w:r>
              <w:rPr>
                <w:sz w:val="17"/>
              </w:rPr>
              <w:t>Not included: CD replication (option B)</w:t>
            </w:r>
          </w:p>
        </w:tc>
        <w:tc>
          <w:tcPr>
            <w:tcW w:type="dxa" w:w="1701"/>
          </w:tcPr>
          <w:p>
            <w:pPr>
              <w:spacing w:after="20" w:before="20"/>
            </w:pPr>
            <w:r/>
            <w:r>
              <w:rPr>
                <w:sz w:val="17"/>
              </w:rPr>
              <w:t>1.5M to 4.0M</w:t>
            </w:r>
          </w:p>
        </w:tc>
        <w:tc>
          <w:tcPr>
            <w:tcW w:type="dxa" w:w="1701"/>
          </w:tcPr>
          <w:p>
            <w:pPr>
              <w:spacing w:after="20" w:before="20"/>
            </w:pPr>
            <w:r/>
            <w:r>
              <w:rPr>
                <w:sz w:val="17"/>
              </w:rPr>
              <w:t>50M to 132M</w:t>
            </w:r>
          </w:p>
        </w:tc>
        <w:tc>
          <w:tcPr>
            <w:tcW w:type="dxa" w:w="3288"/>
          </w:tcPr>
          <w:p>
            <w:pPr>
              <w:spacing w:after="20" w:before="20"/>
            </w:pPr>
            <w:r/>
            <w:r>
              <w:rPr>
                <w:sz w:val="17"/>
              </w:rPr>
              <w:t>Separate decision, separate feasibility study, phase 2 building</w:t>
            </w:r>
          </w:p>
        </w:tc>
      </w:tr>
      <w:tr>
        <w:trPr>
          <w:cantSplit/>
        </w:trPr>
        <w:tc>
          <w:tcPr>
            <w:tcW w:type="dxa" w:w="2948"/>
            <w:shd w:val="clear" w:color="auto" w:fill="F2F5FA"/>
          </w:tcPr>
          <w:p>
            <w:pPr>
              <w:spacing w:after="20" w:before="20"/>
            </w:pPr>
            <w:r/>
            <w:r>
              <w:rPr>
                <w:sz w:val="17"/>
              </w:rPr>
              <w:t>Not included: phase 2 building</w:t>
            </w:r>
          </w:p>
        </w:tc>
        <w:tc>
          <w:tcPr>
            <w:tcW w:type="dxa" w:w="1701"/>
            <w:shd w:val="clear" w:color="auto" w:fill="F2F5FA"/>
          </w:tcPr>
          <w:p>
            <w:pPr>
              <w:spacing w:after="20" w:before="20"/>
            </w:pPr>
            <w:r/>
            <w:r>
              <w:rPr>
                <w:sz w:val="17"/>
              </w:rPr>
              <w:t>~750k to 1,250k</w:t>
            </w:r>
          </w:p>
        </w:tc>
        <w:tc>
          <w:tcPr>
            <w:tcW w:type="dxa" w:w="1701"/>
            <w:shd w:val="clear" w:color="auto" w:fill="F2F5FA"/>
          </w:tcPr>
          <w:p>
            <w:pPr>
              <w:spacing w:after="20" w:before="20"/>
            </w:pPr>
            <w:r/>
            <w:r>
              <w:rPr>
                <w:sz w:val="17"/>
              </w:rPr>
              <w:t>~25M to 41M</w:t>
            </w:r>
          </w:p>
        </w:tc>
        <w:tc>
          <w:tcPr>
            <w:tcW w:type="dxa" w:w="3288"/>
            <w:shd w:val="clear" w:color="auto" w:fill="F2F5FA"/>
          </w:tcPr>
          <w:p>
            <w:pPr>
              <w:spacing w:after="20" w:before="20"/>
            </w:pPr>
            <w:r/>
            <w:r>
              <w:rPr>
                <w:sz w:val="17"/>
              </w:rPr>
              <w:t>Same THB/m² basis on 1,710 m²; expansion beyond the current programme</w:t>
            </w:r>
          </w:p>
        </w:tc>
      </w:tr>
    </w:tbl>
    <w:p>
      <w:pPr>
        <w:spacing w:after="40"/>
      </w:pPr>
    </w:p>
    <w:p>
      <w:pPr>
        <w:pStyle w:val="Heading2"/>
      </w:pPr>
      <w:r>
        <w:t>8.2 Phase 1: what launch actually costs</w:t>
      </w:r>
    </w:p>
    <w:p>
      <w:r>
        <w:rPr/>
        <w:t>The launch configuration is far smaller than the full vision, and it is the number the investor is asked to commit to after the gates clear. It buys a purpose-built, climate-controlled plant with one semi-automatic press line, bridge stampers from the UK, basic QC, first-version traceability, the rooftop solar array and battery, and the cassette and CD-R lines.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4535"/>
            <w:shd w:val="clear" w:color="auto" w:fill="1F3864"/>
          </w:tcPr>
          <w:p>
            <w:pPr>
              <w:spacing w:after="20" w:before="20"/>
            </w:pPr>
            <w:r>
              <w:rPr>
                <w:b/>
              </w:rPr>
            </w:r>
            <w:r>
              <w:rPr>
                <w:b/>
                <w:color w:val="FFFFFF"/>
                <w:sz w:val="17"/>
              </w:rPr>
              <w:t>Block</w:t>
            </w:r>
          </w:p>
        </w:tc>
        <w:tc>
          <w:tcPr>
            <w:tcW w:type="dxa" w:w="1247"/>
            <w:shd w:val="clear" w:color="auto" w:fill="1F3864"/>
          </w:tcPr>
          <w:p>
            <w:pPr>
              <w:spacing w:after="20" w:before="20"/>
            </w:pPr>
            <w:r>
              <w:rPr>
                <w:b/>
              </w:rPr>
            </w:r>
            <w:r>
              <w:rPr>
                <w:b/>
                <w:color w:val="FFFFFF"/>
                <w:sz w:val="17"/>
              </w:rPr>
              <w:t>USD low</w:t>
            </w:r>
          </w:p>
        </w:tc>
        <w:tc>
          <w:tcPr>
            <w:tcW w:type="dxa" w:w="1247"/>
            <w:shd w:val="clear" w:color="auto" w:fill="1F3864"/>
          </w:tcPr>
          <w:p>
            <w:pPr>
              <w:spacing w:after="20" w:before="20"/>
            </w:pPr>
            <w:r>
              <w:rPr>
                <w:b/>
              </w:rPr>
            </w:r>
            <w:r>
              <w:rPr>
                <w:b/>
                <w:color w:val="FFFFFF"/>
                <w:sz w:val="17"/>
              </w:rPr>
              <w:t>USD high</w:t>
            </w:r>
          </w:p>
        </w:tc>
        <w:tc>
          <w:tcPr>
            <w:tcW w:type="dxa" w:w="2608"/>
            <w:shd w:val="clear" w:color="auto" w:fill="1F3864"/>
          </w:tcPr>
          <w:p>
            <w:pPr>
              <w:spacing w:after="20" w:before="20"/>
            </w:pPr>
            <w:r>
              <w:rPr>
                <w:b/>
              </w:rPr>
            </w:r>
            <w:r>
              <w:rPr>
                <w:b/>
                <w:color w:val="FFFFFF"/>
                <w:sz w:val="17"/>
              </w:rPr>
              <w:t>Note</w:t>
            </w:r>
          </w:p>
        </w:tc>
      </w:tr>
      <w:tr>
        <w:trPr>
          <w:cantSplit/>
        </w:trPr>
        <w:tc>
          <w:tcPr>
            <w:tcW w:type="dxa" w:w="4535"/>
          </w:tcPr>
          <w:p>
            <w:pPr>
              <w:spacing w:after="20" w:before="20"/>
            </w:pPr>
            <w:r/>
            <w:r>
              <w:rPr>
                <w:sz w:val="17"/>
              </w:rPr>
              <w:t>Phase 0: consultants, legal, soil test, trade show, re-quotes</w:t>
            </w:r>
          </w:p>
        </w:tc>
        <w:tc>
          <w:tcPr>
            <w:tcW w:type="dxa" w:w="1247"/>
          </w:tcPr>
          <w:p>
            <w:pPr>
              <w:spacing w:after="20" w:before="20"/>
            </w:pPr>
            <w:r/>
            <w:r>
              <w:rPr>
                <w:sz w:val="17"/>
              </w:rPr>
              <w:t>40k</w:t>
            </w:r>
          </w:p>
        </w:tc>
        <w:tc>
          <w:tcPr>
            <w:tcW w:type="dxa" w:w="1247"/>
          </w:tcPr>
          <w:p>
            <w:pPr>
              <w:spacing w:after="20" w:before="20"/>
            </w:pPr>
            <w:r/>
            <w:r>
              <w:rPr>
                <w:sz w:val="17"/>
              </w:rPr>
              <w:t>80k</w:t>
            </w:r>
          </w:p>
        </w:tc>
        <w:tc>
          <w:tcPr>
            <w:tcW w:type="dxa" w:w="2608"/>
          </w:tcPr>
          <w:p>
            <w:pPr>
              <w:spacing w:after="20" w:before="20"/>
            </w:pPr>
            <w:r/>
            <w:r>
              <w:rPr>
                <w:sz w:val="17"/>
              </w:rPr>
              <w:t>Section 14</w:t>
            </w:r>
          </w:p>
        </w:tc>
      </w:tr>
      <w:tr>
        <w:trPr>
          <w:cantSplit/>
        </w:trPr>
        <w:tc>
          <w:tcPr>
            <w:tcW w:type="dxa" w:w="4535"/>
            <w:shd w:val="clear" w:color="auto" w:fill="F2F5FA"/>
          </w:tcPr>
          <w:p>
            <w:pPr>
              <w:spacing w:after="20" w:before="20"/>
            </w:pPr>
            <w:r/>
            <w:r>
              <w:rPr>
                <w:sz w:val="17"/>
              </w:rPr>
              <w:t>Newbilt Single 2.1 system incl. freight</w:t>
            </w:r>
          </w:p>
        </w:tc>
        <w:tc>
          <w:tcPr>
            <w:tcW w:type="dxa" w:w="1247"/>
            <w:shd w:val="clear" w:color="auto" w:fill="F2F5FA"/>
          </w:tcPr>
          <w:p>
            <w:pPr>
              <w:spacing w:after="20" w:before="20"/>
            </w:pPr>
            <w:r/>
            <w:r>
              <w:rPr>
                <w:sz w:val="17"/>
              </w:rPr>
              <w:t>230k</w:t>
            </w:r>
          </w:p>
        </w:tc>
        <w:tc>
          <w:tcPr>
            <w:tcW w:type="dxa" w:w="1247"/>
            <w:shd w:val="clear" w:color="auto" w:fill="F2F5FA"/>
          </w:tcPr>
          <w:p>
            <w:pPr>
              <w:spacing w:after="20" w:before="20"/>
            </w:pPr>
            <w:r/>
            <w:r>
              <w:rPr>
                <w:sz w:val="17"/>
              </w:rPr>
              <w:t>260k</w:t>
            </w:r>
          </w:p>
        </w:tc>
        <w:tc>
          <w:tcPr>
            <w:tcW w:type="dxa" w:w="2608"/>
            <w:shd w:val="clear" w:color="auto" w:fill="F2F5FA"/>
          </w:tcPr>
          <w:p>
            <w:pPr>
              <w:spacing w:after="20" w:before="20"/>
            </w:pPr>
            <w:r/>
            <w:r>
              <w:rPr>
                <w:sz w:val="17"/>
              </w:rPr>
              <w:t>Re-quote drift on the 2024 EUR figure</w:t>
            </w:r>
          </w:p>
        </w:tc>
      </w:tr>
      <w:tr>
        <w:trPr>
          <w:cantSplit/>
        </w:trPr>
        <w:tc>
          <w:tcPr>
            <w:tcW w:type="dxa" w:w="4535"/>
          </w:tcPr>
          <w:p>
            <w:pPr>
              <w:spacing w:after="20" w:before="20"/>
            </w:pPr>
            <w:r/>
            <w:r>
              <w:rPr>
                <w:sz w:val="17"/>
              </w:rPr>
              <w:t>Building, civil and site works</w:t>
            </w:r>
          </w:p>
        </w:tc>
        <w:tc>
          <w:tcPr>
            <w:tcW w:type="dxa" w:w="1247"/>
          </w:tcPr>
          <w:p>
            <w:pPr>
              <w:spacing w:after="20" w:before="20"/>
            </w:pPr>
            <w:r/>
            <w:r>
              <w:rPr>
                <w:sz w:val="17"/>
              </w:rPr>
              <w:t>650k</w:t>
            </w:r>
          </w:p>
        </w:tc>
        <w:tc>
          <w:tcPr>
            <w:tcW w:type="dxa" w:w="1247"/>
          </w:tcPr>
          <w:p>
            <w:pPr>
              <w:spacing w:after="20" w:before="20"/>
            </w:pPr>
            <w:r/>
            <w:r>
              <w:rPr>
                <w:sz w:val="17"/>
              </w:rPr>
              <w:t>1,100k</w:t>
            </w:r>
          </w:p>
        </w:tc>
        <w:tc>
          <w:tcPr>
            <w:tcW w:type="dxa" w:w="2608"/>
          </w:tcPr>
          <w:p>
            <w:pPr>
              <w:spacing w:after="20" w:before="20"/>
            </w:pPr>
            <w:r/>
            <w:r>
              <w:rPr>
                <w:sz w:val="17"/>
              </w:rPr>
              <w:t>Soil result is the main variable</w:t>
            </w:r>
          </w:p>
        </w:tc>
      </w:tr>
      <w:tr>
        <w:trPr>
          <w:cantSplit/>
        </w:trPr>
        <w:tc>
          <w:tcPr>
            <w:tcW w:type="dxa" w:w="4535"/>
            <w:shd w:val="clear" w:color="auto" w:fill="F2F5FA"/>
          </w:tcPr>
          <w:p>
            <w:pPr>
              <w:spacing w:after="20" w:before="20"/>
            </w:pPr>
            <w:r/>
            <w:r>
              <w:rPr>
                <w:sz w:val="17"/>
              </w:rPr>
              <w:t>Utilities: electric steam, compressed air, chiller, water treatment, racking, whole-plant HVAC, ~290 kWp PV, 271 kWh battery</w:t>
            </w:r>
          </w:p>
        </w:tc>
        <w:tc>
          <w:tcPr>
            <w:tcW w:type="dxa" w:w="1247"/>
            <w:shd w:val="clear" w:color="auto" w:fill="F2F5FA"/>
          </w:tcPr>
          <w:p>
            <w:pPr>
              <w:spacing w:after="20" w:before="20"/>
            </w:pPr>
            <w:r/>
            <w:r>
              <w:rPr>
                <w:sz w:val="17"/>
              </w:rPr>
              <w:t>690k</w:t>
            </w:r>
          </w:p>
        </w:tc>
        <w:tc>
          <w:tcPr>
            <w:tcW w:type="dxa" w:w="1247"/>
            <w:shd w:val="clear" w:color="auto" w:fill="F2F5FA"/>
          </w:tcPr>
          <w:p>
            <w:pPr>
              <w:spacing w:after="20" w:before="20"/>
            </w:pPr>
            <w:r/>
            <w:r>
              <w:rPr>
                <w:sz w:val="17"/>
              </w:rPr>
              <w:t>1,160k</w:t>
            </w:r>
          </w:p>
        </w:tc>
        <w:tc>
          <w:tcPr>
            <w:tcW w:type="dxa" w:w="2608"/>
            <w:shd w:val="clear" w:color="auto" w:fill="F2F5FA"/>
          </w:tcPr>
          <w:p>
            <w:pPr>
              <w:spacing w:after="20" w:before="20"/>
            </w:pPr>
            <w:r/>
            <w:r>
              <w:rPr>
                <w:sz w:val="17"/>
              </w:rPr>
              <w:t>Clean-room adder deferred to the galvanics phase</w:t>
            </w:r>
          </w:p>
        </w:tc>
      </w:tr>
      <w:tr>
        <w:trPr>
          <w:cantSplit/>
        </w:trPr>
        <w:tc>
          <w:tcPr>
            <w:tcW w:type="dxa" w:w="4535"/>
          </w:tcPr>
          <w:p>
            <w:pPr>
              <w:spacing w:after="20" w:before="20"/>
            </w:pPr>
            <w:r/>
            <w:r>
              <w:rPr>
                <w:sz w:val="17"/>
              </w:rPr>
              <w:t>Basic QC, PVC lab, traceability v1</w:t>
            </w:r>
          </w:p>
        </w:tc>
        <w:tc>
          <w:tcPr>
            <w:tcW w:type="dxa" w:w="1247"/>
          </w:tcPr>
          <w:p>
            <w:pPr>
              <w:spacing w:after="20" w:before="20"/>
            </w:pPr>
            <w:r/>
            <w:r>
              <w:rPr>
                <w:sz w:val="17"/>
              </w:rPr>
              <w:t>70k</w:t>
            </w:r>
          </w:p>
        </w:tc>
        <w:tc>
          <w:tcPr>
            <w:tcW w:type="dxa" w:w="1247"/>
          </w:tcPr>
          <w:p>
            <w:pPr>
              <w:spacing w:after="20" w:before="20"/>
            </w:pPr>
            <w:r/>
            <w:r>
              <w:rPr>
                <w:sz w:val="17"/>
              </w:rPr>
              <w:t>180k</w:t>
            </w:r>
          </w:p>
        </w:tc>
        <w:tc>
          <w:tcPr>
            <w:tcW w:type="dxa" w:w="2608"/>
          </w:tcPr>
          <w:p>
            <w:pPr>
              <w:spacing w:after="20" w:before="20"/>
            </w:pPr>
            <w:r/>
            <w:r>
              <w:rPr>
                <w:sz w:val="17"/>
              </w:rPr>
              <w:t>Microscope, benchtop lab, sampled listening, software v1</w:t>
            </w:r>
          </w:p>
        </w:tc>
      </w:tr>
      <w:tr>
        <w:trPr>
          <w:cantSplit/>
        </w:trPr>
        <w:tc>
          <w:tcPr>
            <w:tcW w:type="dxa" w:w="4535"/>
            <w:shd w:val="clear" w:color="auto" w:fill="F2F5FA"/>
          </w:tcPr>
          <w:p>
            <w:pPr>
              <w:spacing w:after="20" w:before="20"/>
            </w:pPr>
            <w:r/>
            <w:r>
              <w:rPr>
                <w:sz w:val="17"/>
              </w:rPr>
              <w:t>Cassette duplication and CD-R lines</w:t>
            </w:r>
          </w:p>
        </w:tc>
        <w:tc>
          <w:tcPr>
            <w:tcW w:type="dxa" w:w="1247"/>
            <w:shd w:val="clear" w:color="auto" w:fill="F2F5FA"/>
          </w:tcPr>
          <w:p>
            <w:pPr>
              <w:spacing w:after="20" w:before="20"/>
            </w:pPr>
            <w:r/>
            <w:r>
              <w:rPr>
                <w:sz w:val="17"/>
              </w:rPr>
              <w:t>60k</w:t>
            </w:r>
          </w:p>
        </w:tc>
        <w:tc>
          <w:tcPr>
            <w:tcW w:type="dxa" w:w="1247"/>
            <w:shd w:val="clear" w:color="auto" w:fill="F2F5FA"/>
          </w:tcPr>
          <w:p>
            <w:pPr>
              <w:spacing w:after="20" w:before="20"/>
            </w:pPr>
            <w:r/>
            <w:r>
              <w:rPr>
                <w:sz w:val="17"/>
              </w:rPr>
              <w:t>190k</w:t>
            </w:r>
          </w:p>
        </w:tc>
        <w:tc>
          <w:tcPr>
            <w:tcW w:type="dxa" w:w="2608"/>
            <w:shd w:val="clear" w:color="auto" w:fill="F2F5FA"/>
          </w:tcPr>
          <w:p>
            <w:pPr>
              <w:spacing w:after="20" w:before="20"/>
            </w:pPr>
            <w:r/>
            <w:r>
              <w:rPr>
                <w:sz w:val="17"/>
              </w:rPr>
              <w:t>Tier A or small tier B cassette</w:t>
            </w:r>
          </w:p>
        </w:tc>
      </w:tr>
      <w:tr>
        <w:trPr>
          <w:cantSplit/>
        </w:trPr>
        <w:tc>
          <w:tcPr>
            <w:tcW w:type="dxa" w:w="4535"/>
          </w:tcPr>
          <w:p>
            <w:pPr>
              <w:spacing w:after="20" w:before="20"/>
            </w:pPr>
            <w:r/>
            <w:r>
              <w:rPr>
                <w:sz w:val="17"/>
              </w:rPr>
              <w:t>Freight, installation, commissioning beyond Newbilt's 5 days, training</w:t>
            </w:r>
          </w:p>
        </w:tc>
        <w:tc>
          <w:tcPr>
            <w:tcW w:type="dxa" w:w="1247"/>
          </w:tcPr>
          <w:p>
            <w:pPr>
              <w:spacing w:after="20" w:before="20"/>
            </w:pPr>
            <w:r/>
            <w:r>
              <w:rPr>
                <w:sz w:val="17"/>
              </w:rPr>
              <w:t>40k</w:t>
            </w:r>
          </w:p>
        </w:tc>
        <w:tc>
          <w:tcPr>
            <w:tcW w:type="dxa" w:w="1247"/>
          </w:tcPr>
          <w:p>
            <w:pPr>
              <w:spacing w:after="20" w:before="20"/>
            </w:pPr>
            <w:r/>
            <w:r>
              <w:rPr>
                <w:sz w:val="17"/>
              </w:rPr>
              <w:t>100k</w:t>
            </w:r>
          </w:p>
        </w:tc>
        <w:tc>
          <w:tcPr>
            <w:tcW w:type="dxa" w:w="2608"/>
          </w:tcPr>
          <w:p>
            <w:pPr>
              <w:spacing w:after="20" w:before="20"/>
            </w:pPr>
            <w:r/>
            <w:r>
              <w:rPr>
                <w:sz w:val="17"/>
              </w:rPr>
              <w:t>Newbilt service EUR 84/h plus travel</w:t>
            </w:r>
          </w:p>
        </w:tc>
      </w:tr>
      <w:tr>
        <w:trPr>
          <w:cantSplit/>
        </w:trPr>
        <w:tc>
          <w:tcPr>
            <w:tcW w:type="dxa" w:w="4535"/>
            <w:shd w:val="clear" w:color="auto" w:fill="F2F5FA"/>
          </w:tcPr>
          <w:p>
            <w:pPr>
              <w:spacing w:after="20" w:before="20"/>
            </w:pPr>
            <w:r/>
            <w:r>
              <w:rPr>
                <w:sz w:val="17"/>
              </w:rPr>
              <w:t>Working capital, PVC stock, spares, lease deposit, first-year rent</w:t>
            </w:r>
          </w:p>
        </w:tc>
        <w:tc>
          <w:tcPr>
            <w:tcW w:type="dxa" w:w="1247"/>
            <w:shd w:val="clear" w:color="auto" w:fill="F2F5FA"/>
          </w:tcPr>
          <w:p>
            <w:pPr>
              <w:spacing w:after="20" w:before="20"/>
            </w:pPr>
            <w:r/>
            <w:r>
              <w:rPr>
                <w:sz w:val="17"/>
              </w:rPr>
              <w:t>130k</w:t>
            </w:r>
          </w:p>
        </w:tc>
        <w:tc>
          <w:tcPr>
            <w:tcW w:type="dxa" w:w="1247"/>
            <w:shd w:val="clear" w:color="auto" w:fill="F2F5FA"/>
          </w:tcPr>
          <w:p>
            <w:pPr>
              <w:spacing w:after="20" w:before="20"/>
            </w:pPr>
            <w:r/>
            <w:r>
              <w:rPr>
                <w:sz w:val="17"/>
              </w:rPr>
              <w:t>290k</w:t>
            </w:r>
          </w:p>
        </w:tc>
        <w:tc>
          <w:tcPr>
            <w:tcW w:type="dxa" w:w="2608"/>
            <w:shd w:val="clear" w:color="auto" w:fill="F2F5FA"/>
          </w:tcPr>
          <w:p>
            <w:pPr>
              <w:spacing w:after="20" w:before="20"/>
            </w:pPr>
            <w:r/>
          </w:p>
        </w:tc>
      </w:tr>
      <w:tr>
        <w:trPr>
          <w:cantSplit/>
        </w:trPr>
        <w:tc>
          <w:tcPr>
            <w:tcW w:type="dxa" w:w="4535"/>
          </w:tcPr>
          <w:p>
            <w:pPr>
              <w:spacing w:after="20" w:before="20"/>
            </w:pPr>
            <w:r/>
            <w:r>
              <w:rPr>
                <w:sz w:val="17"/>
              </w:rPr>
              <w:t>Subtotal</w:t>
            </w:r>
          </w:p>
        </w:tc>
        <w:tc>
          <w:tcPr>
            <w:tcW w:type="dxa" w:w="1247"/>
          </w:tcPr>
          <w:p>
            <w:pPr>
              <w:spacing w:after="20" w:before="20"/>
            </w:pPr>
            <w:r/>
            <w:r>
              <w:rPr>
                <w:sz w:val="17"/>
              </w:rPr>
              <w:t>~1.9M</w:t>
            </w:r>
          </w:p>
        </w:tc>
        <w:tc>
          <w:tcPr>
            <w:tcW w:type="dxa" w:w="1247"/>
          </w:tcPr>
          <w:p>
            <w:pPr>
              <w:spacing w:after="20" w:before="20"/>
            </w:pPr>
            <w:r/>
            <w:r>
              <w:rPr>
                <w:sz w:val="17"/>
              </w:rPr>
              <w:t>~3.4M</w:t>
            </w:r>
          </w:p>
        </w:tc>
        <w:tc>
          <w:tcPr>
            <w:tcW w:type="dxa" w:w="2608"/>
          </w:tcPr>
          <w:p>
            <w:pPr>
              <w:spacing w:after="20" w:before="20"/>
            </w:pPr>
            <w:r/>
          </w:p>
        </w:tc>
      </w:tr>
      <w:tr>
        <w:trPr>
          <w:cantSplit/>
        </w:trPr>
        <w:tc>
          <w:tcPr>
            <w:tcW w:type="dxa" w:w="4535"/>
            <w:shd w:val="clear" w:color="auto" w:fill="F2F5FA"/>
          </w:tcPr>
          <w:p>
            <w:pPr>
              <w:spacing w:after="20" w:before="20"/>
            </w:pPr>
            <w:r/>
            <w:r>
              <w:rPr>
                <w:sz w:val="17"/>
              </w:rPr>
              <w:t>Contingency 15%</w:t>
            </w:r>
          </w:p>
        </w:tc>
        <w:tc>
          <w:tcPr>
            <w:tcW w:type="dxa" w:w="1247"/>
            <w:shd w:val="clear" w:color="auto" w:fill="F2F5FA"/>
          </w:tcPr>
          <w:p>
            <w:pPr>
              <w:spacing w:after="20" w:before="20"/>
            </w:pPr>
            <w:r/>
            <w:r>
              <w:rPr>
                <w:sz w:val="17"/>
              </w:rPr>
              <w:t>~0.3M</w:t>
            </w:r>
          </w:p>
        </w:tc>
        <w:tc>
          <w:tcPr>
            <w:tcW w:type="dxa" w:w="1247"/>
            <w:shd w:val="clear" w:color="auto" w:fill="F2F5FA"/>
          </w:tcPr>
          <w:p>
            <w:pPr>
              <w:spacing w:after="20" w:before="20"/>
            </w:pPr>
            <w:r/>
            <w:r>
              <w:rPr>
                <w:sz w:val="17"/>
              </w:rPr>
              <w:t>~0.5M</w:t>
            </w:r>
          </w:p>
        </w:tc>
        <w:tc>
          <w:tcPr>
            <w:tcW w:type="dxa" w:w="2608"/>
            <w:shd w:val="clear" w:color="auto" w:fill="F2F5FA"/>
          </w:tcPr>
          <w:p>
            <w:pPr>
              <w:spacing w:after="20" w:before="20"/>
            </w:pPr>
            <w:r/>
          </w:p>
        </w:tc>
      </w:tr>
      <w:tr>
        <w:trPr>
          <w:cantSplit/>
        </w:trPr>
        <w:tc>
          <w:tcPr>
            <w:tcW w:type="dxa" w:w="4535"/>
          </w:tcPr>
          <w:p>
            <w:pPr>
              <w:spacing w:after="20" w:before="20"/>
            </w:pPr>
            <w:r/>
            <w:r>
              <w:rPr>
                <w:b/>
                <w:sz w:val="17"/>
              </w:rPr>
              <w:t>Phase 1 total</w:t>
            </w:r>
          </w:p>
        </w:tc>
        <w:tc>
          <w:tcPr>
            <w:tcW w:type="dxa" w:w="1247"/>
          </w:tcPr>
          <w:p>
            <w:pPr>
              <w:spacing w:after="20" w:before="20"/>
            </w:pPr>
            <w:r/>
            <w:r>
              <w:rPr>
                <w:b/>
                <w:sz w:val="17"/>
              </w:rPr>
              <w:t>~2.2M</w:t>
            </w:r>
          </w:p>
        </w:tc>
        <w:tc>
          <w:tcPr>
            <w:tcW w:type="dxa" w:w="1247"/>
          </w:tcPr>
          <w:p>
            <w:pPr>
              <w:spacing w:after="20" w:before="20"/>
            </w:pPr>
            <w:r/>
            <w:r>
              <w:rPr>
                <w:b/>
                <w:sz w:val="17"/>
              </w:rPr>
              <w:t>~3.9M</w:t>
            </w:r>
          </w:p>
        </w:tc>
        <w:tc>
          <w:tcPr>
            <w:tcW w:type="dxa" w:w="2608"/>
          </w:tcPr>
          <w:p>
            <w:pPr>
              <w:spacing w:after="20" w:before="20"/>
            </w:pPr>
            <w:r/>
            <w:r>
              <w:rPr>
                <w:b/>
                <w:sz w:val="17"/>
              </w:rPr>
              <w:t>~THB 73M to 128M</w:t>
            </w:r>
          </w:p>
        </w:tc>
      </w:tr>
    </w:tbl>
    <w:p>
      <w:pPr>
        <w:spacing w:after="40"/>
      </w:pPr>
    </w:p>
    <w:p>
      <w:r>
        <w:rPr/>
        <w:t>Galvanics, the automatic presses, the mastering room, the full metrology stack and the biomass boiler follow as revenue-funded or second-round expansions; the remainder between phase 1 and the full vision is roughly USD 2.2M to 4.1M. The planning already supports the split: the Duplex-ready hydraulics, the bridge role for Stamper Discs, the staged electric-to-biomass steam path and the phaseable metrology stack are all documented for exactly this reason.</w:t>
      </w:r>
    </w:p>
    <w:p>
      <w:pPr>
        <w:pStyle w:val="Heading2"/>
      </w:pPr>
      <w:r>
        <w:t>8.3 Tranches</w:t>
      </w:r>
    </w:p>
    <w:p>
      <w:r>
        <w:rPr/>
        <w:t>Phase 1 capital is released against milestones rather than up front, so that each tranche is spent only once the previous gate has cleared: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515"/>
            <w:shd w:val="clear" w:color="auto" w:fill="1F3864"/>
          </w:tcPr>
          <w:p>
            <w:pPr>
              <w:spacing w:after="20" w:before="20"/>
            </w:pPr>
            <w:r>
              <w:rPr>
                <w:b/>
              </w:rPr>
            </w:r>
            <w:r>
              <w:rPr>
                <w:b/>
                <w:color w:val="FFFFFF"/>
                <w:sz w:val="18"/>
              </w:rPr>
              <w:t>Trigger</w:t>
            </w:r>
          </w:p>
        </w:tc>
        <w:tc>
          <w:tcPr>
            <w:tcW w:type="dxa" w:w="3742"/>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515"/>
          </w:tcPr>
          <w:p>
            <w:pPr>
              <w:spacing w:after="20" w:before="20"/>
            </w:pPr>
            <w:r/>
            <w:r>
              <w:rPr>
                <w:sz w:val="18"/>
              </w:rPr>
              <w:t>Now</w:t>
            </w:r>
          </w:p>
        </w:tc>
        <w:tc>
          <w:tcPr>
            <w:tcW w:type="dxa" w:w="3742"/>
          </w:tcPr>
          <w:p>
            <w:pPr>
              <w:spacing w:after="20" w:before="20"/>
            </w:pPr>
            <w:r/>
            <w:r>
              <w:rPr>
                <w:sz w:val="18"/>
              </w:rPr>
              <w:t>Phase 0 work</w:t>
            </w:r>
          </w:p>
        </w:tc>
        <w:tc>
          <w:tcPr>
            <w:tcW w:type="dxa" w:w="1474"/>
          </w:tcPr>
          <w:p>
            <w:pPr>
              <w:spacing w:after="20" w:before="20"/>
            </w:pPr>
            <w:r/>
            <w:r>
              <w:rPr>
                <w:sz w:val="18"/>
              </w:rPr>
              <w:t>2 to 3%</w:t>
            </w:r>
          </w:p>
        </w:tc>
      </w:tr>
      <w:tr>
        <w:trPr>
          <w:cantSplit/>
        </w:trPr>
        <w:tc>
          <w:tcPr>
            <w:tcW w:type="dxa" w:w="907"/>
            <w:shd w:val="clear" w:color="auto" w:fill="F2F5FA"/>
          </w:tcPr>
          <w:p>
            <w:pPr>
              <w:spacing w:after="20" w:before="20"/>
            </w:pPr>
            <w:r/>
            <w:r>
              <w:rPr>
                <w:sz w:val="18"/>
              </w:rPr>
              <w:t>1</w:t>
            </w:r>
          </w:p>
        </w:tc>
        <w:tc>
          <w:tcPr>
            <w:tcW w:type="dxa" w:w="3515"/>
            <w:shd w:val="clear" w:color="auto" w:fill="F2F5FA"/>
          </w:tcPr>
          <w:p>
            <w:pPr>
              <w:spacing w:after="20" w:before="20"/>
            </w:pPr>
            <w:r/>
            <w:r>
              <w:rPr>
                <w:sz w:val="18"/>
              </w:rPr>
              <w:t>BOI certificate issued; lease signed; zoning and soil confirmed; pricing validated</w:t>
            </w:r>
          </w:p>
        </w:tc>
        <w:tc>
          <w:tcPr>
            <w:tcW w:type="dxa" w:w="3742"/>
            <w:shd w:val="clear" w:color="auto" w:fill="F2F5FA"/>
          </w:tcPr>
          <w:p>
            <w:pPr>
              <w:spacing w:after="20" w:before="20"/>
            </w:pPr>
            <w:r/>
            <w:r>
              <w:rPr>
                <w:sz w:val="18"/>
              </w:rPr>
              <w:t>Press order deposit, building design and permit, long-lead utility orders</w:t>
            </w:r>
          </w:p>
        </w:tc>
        <w:tc>
          <w:tcPr>
            <w:tcW w:type="dxa" w:w="1474"/>
            <w:shd w:val="clear" w:color="auto" w:fill="F2F5FA"/>
          </w:tcPr>
          <w:p>
            <w:pPr>
              <w:spacing w:after="20" w:before="20"/>
            </w:pPr>
            <w:r/>
            <w:r>
              <w:rPr>
                <w:sz w:val="18"/>
              </w:rPr>
              <w:t>25 to 30%</w:t>
            </w:r>
          </w:p>
        </w:tc>
      </w:tr>
      <w:tr>
        <w:trPr>
          <w:cantSplit/>
        </w:trPr>
        <w:tc>
          <w:tcPr>
            <w:tcW w:type="dxa" w:w="907"/>
          </w:tcPr>
          <w:p>
            <w:pPr>
              <w:spacing w:after="20" w:before="20"/>
            </w:pPr>
            <w:r/>
            <w:r>
              <w:rPr>
                <w:sz w:val="18"/>
              </w:rPr>
              <w:t>2</w:t>
            </w:r>
          </w:p>
        </w:tc>
        <w:tc>
          <w:tcPr>
            <w:tcW w:type="dxa" w:w="3515"/>
          </w:tcPr>
          <w:p>
            <w:pPr>
              <w:spacing w:after="20" w:before="20"/>
            </w:pPr>
            <w:r/>
            <w:r>
              <w:rPr>
                <w:sz w:val="18"/>
              </w:rPr>
              <w:t>Building permit; press build confirmed</w:t>
            </w:r>
          </w:p>
        </w:tc>
        <w:tc>
          <w:tcPr>
            <w:tcW w:type="dxa" w:w="3742"/>
          </w:tcPr>
          <w:p>
            <w:pPr>
              <w:spacing w:after="20" w:before="20"/>
            </w:pPr>
            <w:r/>
            <w:r>
              <w:rPr>
                <w:sz w:val="18"/>
              </w:rPr>
              <w:t>Construction, utilities, solar</w:t>
            </w:r>
          </w:p>
        </w:tc>
        <w:tc>
          <w:tcPr>
            <w:tcW w:type="dxa" w:w="1474"/>
          </w:tcPr>
          <w:p>
            <w:pPr>
              <w:spacing w:after="20" w:before="20"/>
            </w:pPr>
            <w:r/>
            <w:r>
              <w:rPr>
                <w:sz w:val="18"/>
              </w:rPr>
              <w:t>40 to 45%</w:t>
            </w:r>
          </w:p>
        </w:tc>
      </w:tr>
      <w:tr>
        <w:trPr>
          <w:cantSplit/>
        </w:trPr>
        <w:tc>
          <w:tcPr>
            <w:tcW w:type="dxa" w:w="907"/>
            <w:shd w:val="clear" w:color="auto" w:fill="F2F5FA"/>
          </w:tcPr>
          <w:p>
            <w:pPr>
              <w:spacing w:after="20" w:before="20"/>
            </w:pPr>
            <w:r/>
            <w:r>
              <w:rPr>
                <w:sz w:val="18"/>
              </w:rPr>
              <w:t>3</w:t>
            </w:r>
          </w:p>
        </w:tc>
        <w:tc>
          <w:tcPr>
            <w:tcW w:type="dxa" w:w="3515"/>
            <w:shd w:val="clear" w:color="auto" w:fill="F2F5FA"/>
          </w:tcPr>
          <w:p>
            <w:pPr>
              <w:spacing w:after="20" w:before="20"/>
            </w:pPr>
            <w:r/>
            <w:r>
              <w:rPr>
                <w:sz w:val="18"/>
              </w:rPr>
              <w:t>Building watertight; machinery shipped</w:t>
            </w:r>
          </w:p>
        </w:tc>
        <w:tc>
          <w:tcPr>
            <w:tcW w:type="dxa" w:w="3742"/>
            <w:shd w:val="clear" w:color="auto" w:fill="F2F5FA"/>
          </w:tcPr>
          <w:p>
            <w:pPr>
              <w:spacing w:after="20" w:before="20"/>
            </w:pPr>
            <w:r/>
            <w:r>
              <w:rPr>
                <w:sz w:val="18"/>
              </w:rPr>
              <w:t>Fit-out, HVAC commissioning, QC and software, cassette and CD-R lines, hiring</w:t>
            </w:r>
          </w:p>
        </w:tc>
        <w:tc>
          <w:tcPr>
            <w:tcW w:type="dxa" w:w="1474"/>
            <w:shd w:val="clear" w:color="auto" w:fill="F2F5FA"/>
          </w:tcPr>
          <w:p>
            <w:pPr>
              <w:spacing w:after="20" w:before="20"/>
            </w:pPr>
            <w:r/>
            <w:r>
              <w:rPr>
                <w:sz w:val="18"/>
              </w:rPr>
              <w:t>15 to 20%</w:t>
            </w:r>
          </w:p>
        </w:tc>
      </w:tr>
      <w:tr>
        <w:trPr>
          <w:cantSplit/>
        </w:trPr>
        <w:tc>
          <w:tcPr>
            <w:tcW w:type="dxa" w:w="907"/>
          </w:tcPr>
          <w:p>
            <w:pPr>
              <w:spacing w:after="20" w:before="20"/>
            </w:pPr>
            <w:r/>
            <w:r>
              <w:rPr>
                <w:sz w:val="18"/>
              </w:rPr>
              <w:t>4</w:t>
            </w:r>
          </w:p>
        </w:tc>
        <w:tc>
          <w:tcPr>
            <w:tcW w:type="dxa" w:w="3515"/>
          </w:tcPr>
          <w:p>
            <w:pPr>
              <w:spacing w:after="20" w:before="20"/>
            </w:pPr>
            <w:r/>
            <w:r>
              <w:rPr>
                <w:sz w:val="18"/>
              </w:rPr>
              <w:t>Commissioning complete</w:t>
            </w:r>
          </w:p>
        </w:tc>
        <w:tc>
          <w:tcPr>
            <w:tcW w:type="dxa" w:w="3742"/>
          </w:tcPr>
          <w:p>
            <w:pPr>
              <w:spacing w:after="20" w:before="20"/>
            </w:pPr>
            <w:r/>
            <w:r>
              <w:rPr>
                <w:sz w:val="18"/>
              </w:rPr>
              <w:t>Working capital, stock, first stamper orders</w:t>
            </w:r>
          </w:p>
        </w:tc>
        <w:tc>
          <w:tcPr>
            <w:tcW w:type="dxa" w:w="1474"/>
          </w:tcPr>
          <w:p>
            <w:pPr>
              <w:spacing w:after="20" w:before="20"/>
            </w:pPr>
            <w:r/>
            <w:r>
              <w:rPr>
                <w:sz w:val="18"/>
              </w:rPr>
              <w:t>8 to 10%</w:t>
            </w:r>
          </w:p>
        </w:tc>
      </w:tr>
    </w:tbl>
    <w:p>
      <w:pPr>
        <w:spacing w:after="40"/>
      </w:pPr>
    </w:p>
    <w:p>
      <w:pPr>
        <w:pStyle w:val="Heading2"/>
      </w:pPr>
      <w:r>
        <w:t>8.4 What moves the number</w:t>
      </w:r>
    </w:p>
    <w:p>
      <w:pPr>
        <w:pStyle w:val="ListBullet"/>
      </w:pPr>
      <w:r>
        <w:rPr>
          <w:b/>
        </w:rPr>
        <w:t>BOI</w:t>
      </w:r>
      <w:r>
        <w:rPr/>
        <w:t xml:space="preserve"> machinery duty exemption applies across most of the equipment blocks, and the solar and automation spend converts into tax-exemption headroom; the application precedes every purchase order.</w:t>
      </w:r>
    </w:p>
    <w:p>
      <w:pPr>
        <w:pStyle w:val="ListBullet"/>
      </w:pPr>
      <w:r>
        <w:rPr>
          <w:b/>
        </w:rPr>
        <w:t>The ground.</w:t>
      </w:r>
      <w:r>
        <w:rPr/>
        <w:t xml:space="preserve"> Soft paddy soil under the building, paving and fill platform is the single largest cost variable in the building package, and the cheapest to resolve.</w:t>
      </w:r>
    </w:p>
    <w:p>
      <w:pPr>
        <w:pStyle w:val="ListBullet"/>
      </w:pPr>
      <w:r>
        <w:rPr>
          <w:b/>
        </w:rPr>
        <w:t>Biggest uncertainty bands:</w:t>
      </w:r>
      <w:r>
        <w:rPr/>
        <w:t xml:space="preserve"> metrology (partly a choice of ambition), the mastering room (bespoke vendor, no public pricing), the automatic presses (one unverified price point), the galvanics line, and every cassette and CD figure.</w:t>
      </w:r>
    </w:p>
    <w:p>
      <w:pPr>
        <w:pStyle w:val="ListBullet"/>
      </w:pPr>
      <w:r>
        <w:rPr>
          <w:b/>
        </w:rPr>
        <w:t>Every band narrows only with quotes.</w:t>
      </w:r>
      <w:r>
        <w:rPr/>
        <w:t xml:space="preserve"> The supplier map in the project repository lists who to ask, and the re-quotes are phase 0 work.</w:t>
      </w:r>
    </w:p>
    <w:p>
      <w:pPr>
        <w:pStyle w:val="Heading2"/>
      </w:pPr>
      <w:r>
        <w:t>8.5 Currency exposure</w:t>
      </w:r>
    </w:p>
    <w:p>
      <w:r>
        <w:rPr/>
        <w:t>Revenue will be mostly USD and EUR from export customers; the cost base is mostly THB; the largest single equipment block is EUR-denominated and unhedged against an order that will not be placed for roughly a year. A 10% move in EUR/THB between now and the Newbilt order is worth USD 25k to 35k on that line alone. Operationally, roughly two-thirds of direct cost (labour, energy, cartons, maintenance) is THB, so a 10% baht appreciation takes 0.09 to 0.17 USD off the gross margin per record without any operational change. Two mitigations are planned: ask every re-quote to state its currency and validity period, and decide early whether to quote regional customers in THB. Hedging the press order once the BOI timeline is known is a decision for the investor.</w:t>
      </w:r>
    </w:p>
    <w:p>
      <w:pPr>
        <w:pStyle w:val="Heading1"/>
      </w:pPr>
      <w:r>
        <w:t>9. Revenue and operating model</w:t>
      </w:r>
    </w:p>
    <w:p>
      <w:r>
        <w:rPr/>
        <w:t>A first-pass economic model at mature capacity. Most numbers are estimates from industry pricing norms and the project's own cost research; the point is the shape of the economics and which levers matter, not precision. The pricing assumptions are deliberately held at the conservative Western export benchmark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3.50 to 4.60 per record</w:t>
      </w:r>
      <w:r>
        <w:rPr/>
        <w:t xml:space="preserve"> (THB 115 to 150), across run sizes and the standard/colour mix, covering pressing, labels, inner sleeve and assembly into the jacket; deluxe packaging passed through at cost plus margin. Western plants charge roughly USD 2.90 to 5.80 for standard black at volume, with premiums of 0.60 to 1.70 for colour and splatter, 180 g and small runs.</w:t>
      </w:r>
    </w:p>
    <w:p>
      <w:pPr>
        <w:pStyle w:val="ListBullet"/>
      </w:pPr>
      <w:r>
        <w:rPr>
          <w:b/>
        </w:rPr>
        <w:t>Per-title services: USD 580 to 1,730 per title</w:t>
      </w:r>
      <w:r>
        <w:rPr/>
        <w:t xml:space="preserve"> (THB 19k to 57k) for mastering, cutting, stampers and test pressings, at roughly 300 to 600 titles a year at full capacity. Observed Thai rates suggest this is understated by up to three to four times for a full album, but mastering is labour-bound (an engineer masters perhaps two to four songs a day) and the plan staffs one to two engineers, which caps this line.</w:t>
      </w:r>
    </w:p>
    <w:p>
      <w:pPr>
        <w:pStyle w:val="ListBullet"/>
      </w:pPr>
      <w:r>
        <w:rPr>
          <w:b/>
        </w:rPr>
        <w:t>Cassettes and CD-Rs</w:t>
      </w:r>
      <w:r>
        <w:rPr/>
        <w:t xml:space="preserve"> are add-on lines, not in the totals: illustratively 20k to 60k cassettes a year at USD 2.50 to 4.00 (USD 50k to 240k) and 10k to 40k CD-Rs at USD 1.50 to 3.00 (USD 15k to 120k). Estimates with no market data behind them yet.</w:t>
      </w:r>
    </w:p>
    <w:p>
      <w:pPr>
        <w:pStyle w:val="ListBullet"/>
      </w:pPr>
      <w:r>
        <w:rPr>
          <w:b/>
        </w:rPr>
        <w:t>Dropshipping fees</w:t>
      </w:r>
      <w:r>
        <w:rPr/>
        <w:t xml:space="preserve"> per parcel are on top and not modelled.</w:t>
      </w:r>
    </w:p>
    <w:p>
      <w:pPr>
        <w:pStyle w:val="Heading2"/>
      </w:pPr>
      <w:r>
        <w:t>9.2 Revenue at full capacity</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cantSplit/>
        </w:trPr>
        <w:tc>
          <w:tcPr>
            <w:tcW w:type="dxa" w:w="1474"/>
            <w:shd w:val="clear" w:color="auto" w:fill="1F3864"/>
          </w:tcPr>
          <w:p>
            <w:pPr>
              <w:spacing w:after="20" w:before="20"/>
            </w:pPr>
            <w:r>
              <w:rPr>
                <w:b/>
              </w:rPr>
            </w:r>
            <w:r>
              <w:rPr>
                <w:b/>
                <w:color w:val="FFFFFF"/>
                <w:sz w:val="18"/>
              </w:rPr>
              <w:t>Scenario</w:t>
            </w:r>
          </w:p>
        </w:tc>
        <w:tc>
          <w:tcPr>
            <w:tcW w:type="dxa" w:w="1247"/>
            <w:shd w:val="clear" w:color="auto" w:fill="1F3864"/>
          </w:tcPr>
          <w:p>
            <w:pPr>
              <w:spacing w:after="20" w:before="20"/>
            </w:pPr>
            <w:r>
              <w:rPr>
                <w:b/>
              </w:rPr>
            </w:r>
            <w:r>
              <w:rPr>
                <w:b/>
                <w:color w:val="FFFFFF"/>
                <w:sz w:val="18"/>
              </w:rPr>
              <w:t>Records/yr</w:t>
            </w:r>
          </w:p>
        </w:tc>
        <w:tc>
          <w:tcPr>
            <w:tcW w:type="dxa" w:w="1701"/>
            <w:shd w:val="clear" w:color="auto" w:fill="1F3864"/>
          </w:tcPr>
          <w:p>
            <w:pPr>
              <w:spacing w:after="20" w:before="20"/>
            </w:pPr>
            <w:r>
              <w:rPr>
                <w:b/>
              </w:rPr>
            </w:r>
            <w:r>
              <w:rPr>
                <w:b/>
                <w:color w:val="FFFFFF"/>
                <w:sz w:val="18"/>
              </w:rPr>
              <w:t>Pressing revenue</w:t>
            </w:r>
          </w:p>
        </w:tc>
        <w:tc>
          <w:tcPr>
            <w:tcW w:type="dxa" w:w="1587"/>
            <w:shd w:val="clear" w:color="auto" w:fill="1F3864"/>
          </w:tcPr>
          <w:p>
            <w:pPr>
              <w:spacing w:after="20" w:before="20"/>
            </w:pPr>
            <w:r>
              <w:rPr>
                <w:b/>
              </w:rPr>
            </w:r>
            <w:r>
              <w:rPr>
                <w:b/>
                <w:color w:val="FFFFFF"/>
                <w:sz w:val="18"/>
              </w:rPr>
              <w:t>Title services</w:t>
            </w:r>
          </w:p>
        </w:tc>
        <w:tc>
          <w:tcPr>
            <w:tcW w:type="dxa" w:w="1814"/>
            <w:shd w:val="clear" w:color="auto" w:fill="1F3864"/>
          </w:tcPr>
          <w:p>
            <w:pPr>
              <w:spacing w:after="20" w:before="20"/>
            </w:pPr>
            <w:r>
              <w:rPr>
                <w:b/>
              </w:rPr>
            </w:r>
            <w:r>
              <w:rPr>
                <w:b/>
                <w:color w:val="FFFFFF"/>
                <w:sz w:val="18"/>
              </w:rPr>
              <w:t>Total USD</w:t>
            </w:r>
          </w:p>
        </w:tc>
        <w:tc>
          <w:tcPr>
            <w:tcW w:type="dxa" w:w="1814"/>
            <w:shd w:val="clear" w:color="auto" w:fill="1F3864"/>
          </w:tcPr>
          <w:p>
            <w:pPr>
              <w:spacing w:after="20" w:before="20"/>
            </w:pPr>
            <w:r>
              <w:rPr>
                <w:b/>
              </w:rPr>
            </w:r>
            <w:r>
              <w:rPr>
                <w:b/>
                <w:color w:val="FFFFFF"/>
                <w:sz w:val="18"/>
              </w:rPr>
              <w:t>Total THB</w:t>
            </w:r>
          </w:p>
        </w:tc>
      </w:tr>
      <w:tr>
        <w:trPr>
          <w:cantSplit/>
        </w:trPr>
        <w:tc>
          <w:tcPr>
            <w:tcW w:type="dxa" w:w="1474"/>
          </w:tcPr>
          <w:p>
            <w:pPr>
              <w:spacing w:after="20" w:before="20"/>
            </w:pPr>
            <w:r/>
            <w:r>
              <w:rPr>
                <w:sz w:val="18"/>
              </w:rPr>
              <w:t>Mature, low</w:t>
            </w:r>
          </w:p>
        </w:tc>
        <w:tc>
          <w:tcPr>
            <w:tcW w:type="dxa" w:w="1247"/>
          </w:tcPr>
          <w:p>
            <w:pPr>
              <w:spacing w:after="20" w:before="20"/>
            </w:pPr>
            <w:r/>
            <w:r>
              <w:rPr>
                <w:sz w:val="18"/>
              </w:rPr>
              <w:t>1.0M</w:t>
            </w:r>
          </w:p>
        </w:tc>
        <w:tc>
          <w:tcPr>
            <w:tcW w:type="dxa" w:w="1701"/>
          </w:tcPr>
          <w:p>
            <w:pPr>
              <w:spacing w:after="20" w:before="20"/>
            </w:pPr>
            <w:r/>
            <w:r>
              <w:rPr>
                <w:sz w:val="18"/>
              </w:rPr>
              <w:t>~3.5M</w:t>
            </w:r>
          </w:p>
        </w:tc>
        <w:tc>
          <w:tcPr>
            <w:tcW w:type="dxa" w:w="1587"/>
          </w:tcPr>
          <w:p>
            <w:pPr>
              <w:spacing w:after="20" w:before="20"/>
            </w:pPr>
            <w:r/>
            <w:r>
              <w:rPr>
                <w:sz w:val="18"/>
              </w:rPr>
              <w:t>~0.17M</w:t>
            </w:r>
          </w:p>
        </w:tc>
        <w:tc>
          <w:tcPr>
            <w:tcW w:type="dxa" w:w="1814"/>
          </w:tcPr>
          <w:p>
            <w:pPr>
              <w:spacing w:after="20" w:before="20"/>
            </w:pPr>
            <w:r/>
            <w:r>
              <w:rPr>
                <w:b/>
                <w:sz w:val="18"/>
              </w:rPr>
              <w:t>~3.7M/yr</w:t>
            </w:r>
          </w:p>
        </w:tc>
        <w:tc>
          <w:tcPr>
            <w:tcW w:type="dxa" w:w="1814"/>
          </w:tcPr>
          <w:p>
            <w:pPr>
              <w:spacing w:after="20" w:before="20"/>
            </w:pPr>
            <w:r/>
            <w:r>
              <w:rPr>
                <w:b/>
                <w:sz w:val="18"/>
              </w:rPr>
              <w:t>~122M/yr</w:t>
            </w:r>
          </w:p>
        </w:tc>
      </w:tr>
      <w:tr>
        <w:trPr>
          <w:cantSplit/>
        </w:trPr>
        <w:tc>
          <w:tcPr>
            <w:tcW w:type="dxa" w:w="1474"/>
            <w:shd w:val="clear" w:color="auto" w:fill="F2F5FA"/>
          </w:tcPr>
          <w:p>
            <w:pPr>
              <w:spacing w:after="20" w:before="20"/>
            </w:pPr>
            <w:r/>
            <w:r>
              <w:rPr>
                <w:sz w:val="18"/>
              </w:rPr>
              <w:t>Mature, high</w:t>
            </w:r>
          </w:p>
        </w:tc>
        <w:tc>
          <w:tcPr>
            <w:tcW w:type="dxa" w:w="1247"/>
            <w:shd w:val="clear" w:color="auto" w:fill="F2F5FA"/>
          </w:tcPr>
          <w:p>
            <w:pPr>
              <w:spacing w:after="20" w:before="20"/>
            </w:pPr>
            <w:r/>
            <w:r>
              <w:rPr>
                <w:sz w:val="18"/>
              </w:rPr>
              <w:t>1.5M</w:t>
            </w:r>
          </w:p>
        </w:tc>
        <w:tc>
          <w:tcPr>
            <w:tcW w:type="dxa" w:w="1701"/>
            <w:shd w:val="clear" w:color="auto" w:fill="F2F5FA"/>
          </w:tcPr>
          <w:p>
            <w:pPr>
              <w:spacing w:after="20" w:before="20"/>
            </w:pPr>
            <w:r/>
            <w:r>
              <w:rPr>
                <w:sz w:val="18"/>
              </w:rPr>
              <w:t>~6.1M</w:t>
            </w:r>
          </w:p>
        </w:tc>
        <w:tc>
          <w:tcPr>
            <w:tcW w:type="dxa" w:w="1587"/>
            <w:shd w:val="clear" w:color="auto" w:fill="F2F5FA"/>
          </w:tcPr>
          <w:p>
            <w:pPr>
              <w:spacing w:after="20" w:before="20"/>
            </w:pPr>
            <w:r/>
            <w:r>
              <w:rPr>
                <w:sz w:val="18"/>
              </w:rPr>
              <w:t>~0.69M</w:t>
            </w:r>
          </w:p>
        </w:tc>
        <w:tc>
          <w:tcPr>
            <w:tcW w:type="dxa" w:w="1814"/>
            <w:shd w:val="clear" w:color="auto" w:fill="F2F5FA"/>
          </w:tcPr>
          <w:p>
            <w:pPr>
              <w:spacing w:after="20" w:before="20"/>
            </w:pPr>
            <w:r/>
            <w:r>
              <w:rPr>
                <w:b/>
                <w:sz w:val="18"/>
              </w:rPr>
              <w:t>~6.8M/yr</w:t>
            </w:r>
          </w:p>
        </w:tc>
        <w:tc>
          <w:tcPr>
            <w:tcW w:type="dxa" w:w="1814"/>
            <w:shd w:val="clear" w:color="auto" w:fill="F2F5FA"/>
          </w:tcPr>
          <w:p>
            <w:pPr>
              <w:spacing w:after="20" w:before="20"/>
            </w:pPr>
            <w:r/>
            <w:r>
              <w:rPr>
                <w:b/>
                <w:sz w:val="18"/>
              </w:rPr>
              <w:t>~224M/yr</w:t>
            </w:r>
          </w:p>
        </w:tc>
      </w:tr>
    </w:tbl>
    <w:p>
      <w:pPr>
        <w:spacing w:before="40" w:after="160"/>
      </w:pPr>
      <w:r>
        <w:rPr>
          <w:i/>
          <w:color w:val="595959"/>
          <w:sz w:val="17"/>
        </w:rPr>
        <w:t>Low: 1.0M × USD 3.50 plus 300 titles × 580. High: 1.5M × 4.05 plus 600 titles × 1,155. A pure-volume plant runs at the low per-title end; a boutique-heavy mix pushes titles up and volume down.</w:t>
      </w:r>
    </w:p>
    <w:p>
      <w:pPr>
        <w:pStyle w:val="Heading2"/>
      </w:pPr>
      <w:r>
        <w:t>9.3 Direct cost per record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w:t>
            </w:r>
          </w:p>
        </w:tc>
        <w:tc>
          <w:tcPr>
            <w:tcW w:type="dxa" w:w="1474"/>
          </w:tcPr>
          <w:p>
            <w:pPr>
              <w:spacing w:after="20" w:before="20"/>
            </w:pPr>
            <w:r/>
            <w:r>
              <w:rPr>
                <w:sz w:val="17"/>
              </w:rPr>
              <w:t>0.08 to 0.16</w:t>
            </w:r>
          </w:p>
        </w:tc>
        <w:tc>
          <w:tcPr>
            <w:tcW w:type="dxa" w:w="1474"/>
          </w:tcPr>
          <w:p>
            <w:pPr>
              <w:spacing w:after="20" w:before="20"/>
            </w:pPr>
            <w:r/>
            <w:r>
              <w:rPr>
                <w:sz w:val="17"/>
              </w:rPr>
              <w:t>2.6 to 5.4</w:t>
            </w:r>
          </w:p>
        </w:tc>
        <w:tc>
          <w:tcPr>
            <w:tcW w:type="dxa" w:w="4309"/>
          </w:tcPr>
          <w:p>
            <w:pPr>
              <w:spacing w:after="20" w:before="20"/>
            </w:pPr>
            <w:r/>
            <w:r>
              <w:rPr>
                <w:sz w:val="17"/>
              </w:rPr>
              <w:t>13 to 19 direct staff at northern Thai rates, loaded ×1.3, over 1.0 to 1.5M records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reject rate carried by good units</w:t>
            </w:r>
          </w:p>
        </w:tc>
      </w:tr>
      <w:tr>
        <w:trPr>
          <w:cantSplit/>
        </w:trPr>
        <w:tc>
          <w:tcPr>
            <w:tcW w:type="dxa" w:w="2381"/>
          </w:tcPr>
          <w:p>
            <w:pPr>
              <w:spacing w:after="20" w:before="20"/>
            </w:pPr>
            <w:r/>
            <w:r>
              <w:rPr>
                <w:b/>
                <w:sz w:val="17"/>
              </w:rPr>
              <w:t>Total direct cost</w:t>
            </w:r>
          </w:p>
        </w:tc>
        <w:tc>
          <w:tcPr>
            <w:tcW w:type="dxa" w:w="1474"/>
          </w:tcPr>
          <w:p>
            <w:pPr>
              <w:spacing w:after="20" w:before="20"/>
            </w:pPr>
            <w:r/>
            <w:r>
              <w:rPr>
                <w:b/>
                <w:sz w:val="17"/>
              </w:rPr>
              <w:t>~1.30 to 2.58</w:t>
            </w:r>
          </w:p>
        </w:tc>
        <w:tc>
          <w:tcPr>
            <w:tcW w:type="dxa" w:w="1474"/>
          </w:tcPr>
          <w:p>
            <w:pPr>
              <w:spacing w:after="20" w:before="20"/>
            </w:pPr>
            <w:r/>
            <w:r>
              <w:rPr>
                <w:b/>
                <w:sz w:val="17"/>
              </w:rPr>
              <w:t>~43 to 85</w:t>
            </w:r>
          </w:p>
        </w:tc>
        <w:tc>
          <w:tcPr>
            <w:tcW w:type="dxa" w:w="4309"/>
          </w:tcPr>
          <w:p>
            <w:pPr>
              <w:spacing w:after="20" w:before="20"/>
            </w:pPr>
            <w:r/>
          </w:p>
        </w:tc>
      </w:tr>
    </w:tbl>
    <w:p>
      <w:pPr>
        <w:spacing w:after="40"/>
      </w:pPr>
    </w:p>
    <w:p>
      <w:r>
        <w:rPr/>
        <w:t xml:space="preserve">Blended price minus direct cost gives a gross margin of about </w:t>
      </w:r>
      <w:r>
        <w:rPr>
          <w:b/>
        </w:rPr>
        <w:t>USD 2.11 per record at the midpoint (~52%)</w:t>
      </w:r>
      <w:r>
        <w:rPr/>
        <w:t>. The spread is wide and worth stating: the adverse corner (low price meeting high cost) leaves USD 0.92 (26%), the favourable corner USD 3.30 (72%). Price realisation and cost control each move the margin by more than a third on their own.</w:t>
      </w:r>
    </w:p>
    <w:p>
      <w:pPr>
        <w:pStyle w:val="Heading2"/>
      </w:pPr>
      <w:r>
        <w:t>9.4 Operating picture at full capacity</w:t>
      </w:r>
    </w:p>
    <w:p>
      <w:r>
        <w:rPr/>
        <w:t>Built from the components above. Three scenarios, each internally consistent: adverse pairs low volume with the low price and high cost; favourable does the opposite; central takes midpoints. Cash overheads (admin, sales, insurance, facility running, IT, professional fees, marketing, and now the land lease) are estimated at USD 210k to 480k a year and paired high-to-adverse. Depreciation is the 4.4M to 8.0M capital over 10 to 15 years.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3402"/>
            <w:shd w:val="clear" w:color="auto" w:fill="1F3864"/>
          </w:tcPr>
          <w:p>
            <w:pPr>
              <w:spacing w:after="20" w:before="20"/>
            </w:pPr>
            <w:r>
              <w:rPr>
                <w:b/>
              </w:rPr>
            </w:r>
            <w:r>
              <w:rPr>
                <w:b/>
                <w:color w:val="FFFFFF"/>
                <w:sz w:val="18"/>
              </w:rPr>
              <w:t>USD per year</w:t>
            </w:r>
          </w:p>
        </w:tc>
        <w:tc>
          <w:tcPr>
            <w:tcW w:type="dxa" w:w="2041"/>
            <w:shd w:val="clear" w:color="auto" w:fill="1F3864"/>
          </w:tcPr>
          <w:p>
            <w:pPr>
              <w:spacing w:after="20" w:before="20"/>
            </w:pPr>
            <w:r>
              <w:rPr>
                <w:b/>
              </w:rPr>
            </w:r>
            <w:r>
              <w:rPr>
                <w:b/>
                <w:color w:val="FFFFFF"/>
                <w:sz w:val="18"/>
              </w:rPr>
              <w:t>Adverse</w:t>
            </w:r>
          </w:p>
        </w:tc>
        <w:tc>
          <w:tcPr>
            <w:tcW w:type="dxa" w:w="2041"/>
            <w:shd w:val="clear" w:color="auto" w:fill="1F3864"/>
          </w:tcPr>
          <w:p>
            <w:pPr>
              <w:spacing w:after="20" w:before="20"/>
            </w:pPr>
            <w:r>
              <w:rPr>
                <w:b/>
              </w:rPr>
            </w:r>
            <w:r>
              <w:rPr>
                <w:b/>
                <w:color w:val="FFFFFF"/>
                <w:sz w:val="18"/>
              </w:rPr>
              <w:t>Central</w:t>
            </w:r>
          </w:p>
        </w:tc>
        <w:tc>
          <w:tcPr>
            <w:tcW w:type="dxa" w:w="2154"/>
            <w:shd w:val="clear" w:color="auto" w:fill="1F3864"/>
          </w:tcPr>
          <w:p>
            <w:pPr>
              <w:spacing w:after="20" w:before="20"/>
            </w:pPr>
            <w:r>
              <w:rPr>
                <w:b/>
              </w:rPr>
            </w:r>
            <w:r>
              <w:rPr>
                <w:b/>
                <w:color w:val="FFFFFF"/>
                <w:sz w:val="18"/>
              </w:rPr>
              <w:t>Favourable</w:t>
            </w:r>
          </w:p>
        </w:tc>
      </w:tr>
      <w:tr>
        <w:trPr>
          <w:cantSplit/>
        </w:trPr>
        <w:tc>
          <w:tcPr>
            <w:tcW w:type="dxa" w:w="3402"/>
          </w:tcPr>
          <w:p>
            <w:pPr>
              <w:spacing w:after="20" w:before="20"/>
            </w:pPr>
            <w:r/>
            <w:r>
              <w:rPr>
                <w:sz w:val="18"/>
              </w:rPr>
              <w:t>Records</w:t>
            </w:r>
          </w:p>
        </w:tc>
        <w:tc>
          <w:tcPr>
            <w:tcW w:type="dxa" w:w="2041"/>
          </w:tcPr>
          <w:p>
            <w:pPr>
              <w:spacing w:after="20" w:before="20"/>
            </w:pPr>
            <w:r/>
            <w:r>
              <w:rPr>
                <w:sz w:val="18"/>
              </w:rPr>
              <w:t>1.0M</w:t>
            </w:r>
          </w:p>
        </w:tc>
        <w:tc>
          <w:tcPr>
            <w:tcW w:type="dxa" w:w="2041"/>
          </w:tcPr>
          <w:p>
            <w:pPr>
              <w:spacing w:after="20" w:before="20"/>
            </w:pPr>
            <w:r/>
            <w:r>
              <w:rPr>
                <w:sz w:val="18"/>
              </w:rPr>
              <w:t>1.25M</w:t>
            </w:r>
          </w:p>
        </w:tc>
        <w:tc>
          <w:tcPr>
            <w:tcW w:type="dxa" w:w="2154"/>
          </w:tcPr>
          <w:p>
            <w:pPr>
              <w:spacing w:after="20" w:before="20"/>
            </w:pPr>
            <w:r/>
            <w:r>
              <w:rPr>
                <w:sz w:val="18"/>
              </w:rPr>
              <w:t>1.5M</w:t>
            </w:r>
          </w:p>
        </w:tc>
      </w:tr>
      <w:tr>
        <w:trPr>
          <w:cantSplit/>
        </w:trPr>
        <w:tc>
          <w:tcPr>
            <w:tcW w:type="dxa" w:w="3402"/>
            <w:shd w:val="clear" w:color="auto" w:fill="F2F5FA"/>
          </w:tcPr>
          <w:p>
            <w:pPr>
              <w:spacing w:after="20" w:before="20"/>
            </w:pPr>
            <w:r/>
            <w:r>
              <w:rPr>
                <w:sz w:val="18"/>
              </w:rPr>
              <w:t>Blended price</w:t>
            </w:r>
          </w:p>
        </w:tc>
        <w:tc>
          <w:tcPr>
            <w:tcW w:type="dxa" w:w="2041"/>
            <w:shd w:val="clear" w:color="auto" w:fill="F2F5FA"/>
          </w:tcPr>
          <w:p>
            <w:pPr>
              <w:spacing w:after="20" w:before="20"/>
            </w:pPr>
            <w:r/>
            <w:r>
              <w:rPr>
                <w:sz w:val="18"/>
              </w:rPr>
              <w:t>3.50</w:t>
            </w:r>
          </w:p>
        </w:tc>
        <w:tc>
          <w:tcPr>
            <w:tcW w:type="dxa" w:w="2041"/>
            <w:shd w:val="clear" w:color="auto" w:fill="F2F5FA"/>
          </w:tcPr>
          <w:p>
            <w:pPr>
              <w:spacing w:after="20" w:before="20"/>
            </w:pPr>
            <w:r/>
            <w:r>
              <w:rPr>
                <w:sz w:val="18"/>
              </w:rPr>
              <w:t>4.05</w:t>
            </w:r>
          </w:p>
        </w:tc>
        <w:tc>
          <w:tcPr>
            <w:tcW w:type="dxa" w:w="2154"/>
            <w:shd w:val="clear" w:color="auto" w:fill="F2F5FA"/>
          </w:tcPr>
          <w:p>
            <w:pPr>
              <w:spacing w:after="20" w:before="20"/>
            </w:pPr>
            <w:r/>
            <w:r>
              <w:rPr>
                <w:sz w:val="18"/>
              </w:rPr>
              <w:t>4.60</w:t>
            </w:r>
          </w:p>
        </w:tc>
      </w:tr>
      <w:tr>
        <w:trPr>
          <w:cantSplit/>
        </w:trPr>
        <w:tc>
          <w:tcPr>
            <w:tcW w:type="dxa" w:w="3402"/>
          </w:tcPr>
          <w:p>
            <w:pPr>
              <w:spacing w:after="20" w:before="20"/>
            </w:pPr>
            <w:r/>
            <w:r>
              <w:rPr>
                <w:sz w:val="18"/>
              </w:rPr>
              <w:t>Direct cost</w:t>
            </w:r>
          </w:p>
        </w:tc>
        <w:tc>
          <w:tcPr>
            <w:tcW w:type="dxa" w:w="2041"/>
          </w:tcPr>
          <w:p>
            <w:pPr>
              <w:spacing w:after="20" w:before="20"/>
            </w:pPr>
            <w:r/>
            <w:r>
              <w:rPr>
                <w:sz w:val="18"/>
              </w:rPr>
              <w:t>2.58</w:t>
            </w:r>
          </w:p>
        </w:tc>
        <w:tc>
          <w:tcPr>
            <w:tcW w:type="dxa" w:w="2041"/>
          </w:tcPr>
          <w:p>
            <w:pPr>
              <w:spacing w:after="20" w:before="20"/>
            </w:pPr>
            <w:r/>
            <w:r>
              <w:rPr>
                <w:sz w:val="18"/>
              </w:rPr>
              <w:t>1.94</w:t>
            </w:r>
          </w:p>
        </w:tc>
        <w:tc>
          <w:tcPr>
            <w:tcW w:type="dxa" w:w="2154"/>
          </w:tcPr>
          <w:p>
            <w:pPr>
              <w:spacing w:after="20" w:before="20"/>
            </w:pPr>
            <w:r/>
            <w:r>
              <w:rPr>
                <w:sz w:val="18"/>
              </w:rPr>
              <w:t>1.30</w:t>
            </w:r>
          </w:p>
        </w:tc>
      </w:tr>
      <w:tr>
        <w:trPr>
          <w:cantSplit/>
        </w:trPr>
        <w:tc>
          <w:tcPr>
            <w:tcW w:type="dxa" w:w="3402"/>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0.92</w:t>
            </w:r>
          </w:p>
        </w:tc>
        <w:tc>
          <w:tcPr>
            <w:tcW w:type="dxa" w:w="2041"/>
            <w:shd w:val="clear" w:color="auto" w:fill="F2F5FA"/>
          </w:tcPr>
          <w:p>
            <w:pPr>
              <w:spacing w:after="20" w:before="20"/>
            </w:pPr>
            <w:r/>
            <w:r>
              <w:rPr>
                <w:sz w:val="18"/>
              </w:rPr>
              <w:t>2.11</w:t>
            </w:r>
          </w:p>
        </w:tc>
        <w:tc>
          <w:tcPr>
            <w:tcW w:type="dxa" w:w="2154"/>
            <w:shd w:val="clear" w:color="auto" w:fill="F2F5FA"/>
          </w:tcPr>
          <w:p>
            <w:pPr>
              <w:spacing w:after="20" w:before="20"/>
            </w:pPr>
            <w:r/>
            <w:r>
              <w:rPr>
                <w:sz w:val="18"/>
              </w:rPr>
              <w:t>3.30</w:t>
            </w:r>
          </w:p>
        </w:tc>
      </w:tr>
      <w:tr>
        <w:trPr>
          <w:cantSplit/>
        </w:trPr>
        <w:tc>
          <w:tcPr>
            <w:tcW w:type="dxa" w:w="3402"/>
          </w:tcPr>
          <w:p>
            <w:pPr>
              <w:spacing w:after="20" w:before="20"/>
            </w:pPr>
            <w:r/>
            <w:r>
              <w:rPr>
                <w:sz w:val="18"/>
              </w:rPr>
              <w:t>Pressing contribution</w:t>
            </w:r>
          </w:p>
        </w:tc>
        <w:tc>
          <w:tcPr>
            <w:tcW w:type="dxa" w:w="2041"/>
          </w:tcPr>
          <w:p>
            <w:pPr>
              <w:spacing w:after="20" w:before="20"/>
            </w:pPr>
            <w:r/>
            <w:r>
              <w:rPr>
                <w:sz w:val="18"/>
              </w:rPr>
              <w:t>0.92M</w:t>
            </w:r>
          </w:p>
        </w:tc>
        <w:tc>
          <w:tcPr>
            <w:tcW w:type="dxa" w:w="2041"/>
          </w:tcPr>
          <w:p>
            <w:pPr>
              <w:spacing w:after="20" w:before="20"/>
            </w:pPr>
            <w:r/>
            <w:r>
              <w:rPr>
                <w:sz w:val="18"/>
              </w:rPr>
              <w:t>2.64M</w:t>
            </w:r>
          </w:p>
        </w:tc>
        <w:tc>
          <w:tcPr>
            <w:tcW w:type="dxa" w:w="2154"/>
          </w:tcPr>
          <w:p>
            <w:pPr>
              <w:spacing w:after="20" w:before="20"/>
            </w:pPr>
            <w:r/>
            <w:r>
              <w:rPr>
                <w:sz w:val="18"/>
              </w:rPr>
              <w:t>4.95M</w:t>
            </w:r>
          </w:p>
        </w:tc>
      </w:tr>
      <w:tr>
        <w:trPr>
          <w:cantSplit/>
        </w:trPr>
        <w:tc>
          <w:tcPr>
            <w:tcW w:type="dxa" w:w="3402"/>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0.10M</w:t>
            </w:r>
          </w:p>
        </w:tc>
        <w:tc>
          <w:tcPr>
            <w:tcW w:type="dxa" w:w="2041"/>
            <w:shd w:val="clear" w:color="auto" w:fill="F2F5FA"/>
          </w:tcPr>
          <w:p>
            <w:pPr>
              <w:spacing w:after="20" w:before="20"/>
            </w:pPr>
            <w:r/>
            <w:r>
              <w:rPr>
                <w:sz w:val="18"/>
              </w:rPr>
              <w:t>0.28M</w:t>
            </w:r>
          </w:p>
        </w:tc>
        <w:tc>
          <w:tcPr>
            <w:tcW w:type="dxa" w:w="2154"/>
            <w:shd w:val="clear" w:color="auto" w:fill="F2F5FA"/>
          </w:tcPr>
          <w:p>
            <w:pPr>
              <w:spacing w:after="20" w:before="20"/>
            </w:pPr>
            <w:r/>
            <w:r>
              <w:rPr>
                <w:sz w:val="18"/>
              </w:rPr>
              <w:t>0.48M</w:t>
            </w:r>
          </w:p>
        </w:tc>
      </w:tr>
      <w:tr>
        <w:trPr>
          <w:cantSplit/>
        </w:trPr>
        <w:tc>
          <w:tcPr>
            <w:tcW w:type="dxa" w:w="3402"/>
          </w:tcPr>
          <w:p>
            <w:pPr>
              <w:spacing w:after="20" w:before="20"/>
            </w:pPr>
            <w:r/>
            <w:r>
              <w:rPr>
                <w:b/>
                <w:sz w:val="18"/>
              </w:rPr>
              <w:t>Total contribution</w:t>
            </w:r>
          </w:p>
        </w:tc>
        <w:tc>
          <w:tcPr>
            <w:tcW w:type="dxa" w:w="2041"/>
          </w:tcPr>
          <w:p>
            <w:pPr>
              <w:spacing w:after="20" w:before="20"/>
            </w:pPr>
            <w:r/>
            <w:r>
              <w:rPr>
                <w:b/>
                <w:sz w:val="18"/>
              </w:rPr>
              <w:t>1.02M</w:t>
            </w:r>
          </w:p>
        </w:tc>
        <w:tc>
          <w:tcPr>
            <w:tcW w:type="dxa" w:w="2041"/>
          </w:tcPr>
          <w:p>
            <w:pPr>
              <w:spacing w:after="20" w:before="20"/>
            </w:pPr>
            <w:r/>
            <w:r>
              <w:rPr>
                <w:b/>
                <w:sz w:val="18"/>
              </w:rPr>
              <w:t>2.92M</w:t>
            </w:r>
          </w:p>
        </w:tc>
        <w:tc>
          <w:tcPr>
            <w:tcW w:type="dxa" w:w="2154"/>
          </w:tcPr>
          <w:p>
            <w:pPr>
              <w:spacing w:after="20" w:before="20"/>
            </w:pPr>
            <w:r/>
            <w:r>
              <w:rPr>
                <w:b/>
                <w:sz w:val="18"/>
              </w:rPr>
              <w:t>5.43M</w:t>
            </w:r>
          </w:p>
        </w:tc>
      </w:tr>
      <w:tr>
        <w:trPr>
          <w:cantSplit/>
        </w:trPr>
        <w:tc>
          <w:tcPr>
            <w:tcW w:type="dxa" w:w="3402"/>
            <w:shd w:val="clear" w:color="auto" w:fill="F2F5FA"/>
          </w:tcPr>
          <w:p>
            <w:pPr>
              <w:spacing w:after="20" w:before="20"/>
            </w:pPr>
            <w:r/>
            <w:r>
              <w:rPr>
                <w:sz w:val="18"/>
              </w:rPr>
              <w:t>Cash overheads incl. lease</w:t>
            </w:r>
          </w:p>
        </w:tc>
        <w:tc>
          <w:tcPr>
            <w:tcW w:type="dxa" w:w="2041"/>
            <w:shd w:val="clear" w:color="auto" w:fill="F2F5FA"/>
          </w:tcPr>
          <w:p>
            <w:pPr>
              <w:spacing w:after="20" w:before="20"/>
            </w:pPr>
            <w:r/>
            <w:r>
              <w:rPr>
                <w:sz w:val="18"/>
              </w:rPr>
              <w:t>0.48M</w:t>
            </w:r>
          </w:p>
        </w:tc>
        <w:tc>
          <w:tcPr>
            <w:tcW w:type="dxa" w:w="2041"/>
            <w:shd w:val="clear" w:color="auto" w:fill="F2F5FA"/>
          </w:tcPr>
          <w:p>
            <w:pPr>
              <w:spacing w:after="20" w:before="20"/>
            </w:pPr>
            <w:r/>
            <w:r>
              <w:rPr>
                <w:sz w:val="18"/>
              </w:rPr>
              <w:t>0.35M</w:t>
            </w:r>
          </w:p>
        </w:tc>
        <w:tc>
          <w:tcPr>
            <w:tcW w:type="dxa" w:w="2154"/>
            <w:shd w:val="clear" w:color="auto" w:fill="F2F5FA"/>
          </w:tcPr>
          <w:p>
            <w:pPr>
              <w:spacing w:after="20" w:before="20"/>
            </w:pPr>
            <w:r/>
            <w:r>
              <w:rPr>
                <w:sz w:val="18"/>
              </w:rPr>
              <w:t>0.21M</w:t>
            </w:r>
          </w:p>
        </w:tc>
      </w:tr>
      <w:tr>
        <w:trPr>
          <w:cantSplit/>
        </w:trPr>
        <w:tc>
          <w:tcPr>
            <w:tcW w:type="dxa" w:w="3402"/>
          </w:tcPr>
          <w:p>
            <w:pPr>
              <w:spacing w:after="20" w:before="20"/>
            </w:pPr>
            <w:r/>
            <w:r>
              <w:rPr>
                <w:b/>
                <w:sz w:val="18"/>
              </w:rPr>
              <w:t>EBITDA</w:t>
            </w:r>
          </w:p>
        </w:tc>
        <w:tc>
          <w:tcPr>
            <w:tcW w:type="dxa" w:w="2041"/>
          </w:tcPr>
          <w:p>
            <w:pPr>
              <w:spacing w:after="20" w:before="20"/>
            </w:pPr>
            <w:r/>
            <w:r>
              <w:rPr>
                <w:b/>
                <w:sz w:val="18"/>
              </w:rPr>
              <w:t>0.54M</w:t>
            </w:r>
          </w:p>
        </w:tc>
        <w:tc>
          <w:tcPr>
            <w:tcW w:type="dxa" w:w="2041"/>
          </w:tcPr>
          <w:p>
            <w:pPr>
              <w:spacing w:after="20" w:before="20"/>
            </w:pPr>
            <w:r/>
            <w:r>
              <w:rPr>
                <w:b/>
                <w:sz w:val="18"/>
              </w:rPr>
              <w:t>2.57M</w:t>
            </w:r>
          </w:p>
        </w:tc>
        <w:tc>
          <w:tcPr>
            <w:tcW w:type="dxa" w:w="2154"/>
          </w:tcPr>
          <w:p>
            <w:pPr>
              <w:spacing w:after="20" w:before="20"/>
            </w:pPr>
            <w:r/>
            <w:r>
              <w:rPr>
                <w:b/>
                <w:sz w:val="18"/>
              </w:rPr>
              <w:t>5.22M</w:t>
            </w:r>
          </w:p>
        </w:tc>
      </w:tr>
      <w:tr>
        <w:trPr>
          <w:cantSplit/>
        </w:trPr>
        <w:tc>
          <w:tcPr>
            <w:tcW w:type="dxa" w:w="3402"/>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0.80M</w:t>
            </w:r>
          </w:p>
        </w:tc>
        <w:tc>
          <w:tcPr>
            <w:tcW w:type="dxa" w:w="2041"/>
            <w:shd w:val="clear" w:color="auto" w:fill="F2F5FA"/>
          </w:tcPr>
          <w:p>
            <w:pPr>
              <w:spacing w:after="20" w:before="20"/>
            </w:pPr>
            <w:r/>
            <w:r>
              <w:rPr>
                <w:sz w:val="18"/>
              </w:rPr>
              <w:t>0.50M</w:t>
            </w:r>
          </w:p>
        </w:tc>
        <w:tc>
          <w:tcPr>
            <w:tcW w:type="dxa" w:w="2154"/>
            <w:shd w:val="clear" w:color="auto" w:fill="F2F5FA"/>
          </w:tcPr>
          <w:p>
            <w:pPr>
              <w:spacing w:after="20" w:before="20"/>
            </w:pPr>
            <w:r/>
            <w:r>
              <w:rPr>
                <w:sz w:val="18"/>
              </w:rPr>
              <w:t>0.29M</w:t>
            </w:r>
          </w:p>
        </w:tc>
      </w:tr>
      <w:tr>
        <w:trPr>
          <w:cantSplit/>
        </w:trPr>
        <w:tc>
          <w:tcPr>
            <w:tcW w:type="dxa" w:w="3402"/>
          </w:tcPr>
          <w:p>
            <w:pPr>
              <w:spacing w:after="20" w:before="20"/>
            </w:pPr>
            <w:r/>
            <w:r>
              <w:rPr>
                <w:b/>
                <w:sz w:val="18"/>
              </w:rPr>
              <w:t>Operating profit</w:t>
            </w:r>
          </w:p>
        </w:tc>
        <w:tc>
          <w:tcPr>
            <w:tcW w:type="dxa" w:w="2041"/>
          </w:tcPr>
          <w:p>
            <w:pPr>
              <w:spacing w:after="20" w:before="20"/>
            </w:pPr>
            <w:r/>
            <w:r>
              <w:rPr>
                <w:b/>
                <w:sz w:val="18"/>
              </w:rPr>
              <w:t>−0.26M</w:t>
            </w:r>
          </w:p>
        </w:tc>
        <w:tc>
          <w:tcPr>
            <w:tcW w:type="dxa" w:w="2041"/>
          </w:tcPr>
          <w:p>
            <w:pPr>
              <w:spacing w:after="20" w:before="20"/>
            </w:pPr>
            <w:r/>
            <w:r>
              <w:rPr>
                <w:b/>
                <w:sz w:val="18"/>
              </w:rPr>
              <w:t>2.07M</w:t>
            </w:r>
          </w:p>
        </w:tc>
        <w:tc>
          <w:tcPr>
            <w:tcW w:type="dxa" w:w="2154"/>
          </w:tcPr>
          <w:p>
            <w:pPr>
              <w:spacing w:after="20" w:before="20"/>
            </w:pPr>
            <w:r/>
            <w:r>
              <w:rPr>
                <w:b/>
                <w:sz w:val="18"/>
              </w:rPr>
              <w:t>4.93M</w:t>
            </w:r>
          </w:p>
        </w:tc>
      </w:tr>
      <w:tr>
        <w:trPr>
          <w:cantSplit/>
        </w:trPr>
        <w:tc>
          <w:tcPr>
            <w:tcW w:type="dxa" w:w="3402"/>
            <w:shd w:val="clear" w:color="auto" w:fill="F2F5FA"/>
          </w:tcPr>
          <w:p>
            <w:pPr>
              <w:spacing w:after="20" w:before="20"/>
            </w:pPr>
            <w:r/>
            <w:r>
              <w:rPr>
                <w:sz w:val="18"/>
              </w:rPr>
              <w:t>Payback on 4.4M to 8.0M capital</w:t>
            </w:r>
          </w:p>
        </w:tc>
        <w:tc>
          <w:tcPr>
            <w:tcW w:type="dxa" w:w="2041"/>
            <w:shd w:val="clear" w:color="auto" w:fill="F2F5FA"/>
          </w:tcPr>
          <w:p>
            <w:pPr>
              <w:spacing w:after="20" w:before="20"/>
            </w:pPr>
            <w:r/>
            <w:r>
              <w:rPr>
                <w:sz w:val="18"/>
              </w:rPr>
              <w:t>never</w:t>
            </w:r>
          </w:p>
        </w:tc>
        <w:tc>
          <w:tcPr>
            <w:tcW w:type="dxa" w:w="2041"/>
            <w:shd w:val="clear" w:color="auto" w:fill="F2F5FA"/>
          </w:tcPr>
          <w:p>
            <w:pPr>
              <w:spacing w:after="20" w:before="20"/>
            </w:pPr>
            <w:r/>
            <w:r>
              <w:rPr>
                <w:sz w:val="18"/>
              </w:rPr>
              <w:t>2.1 to 3.9 yr</w:t>
            </w:r>
          </w:p>
        </w:tc>
        <w:tc>
          <w:tcPr>
            <w:tcW w:type="dxa" w:w="2154"/>
            <w:shd w:val="clear" w:color="auto" w:fill="F2F5FA"/>
          </w:tcPr>
          <w:p>
            <w:pPr>
              <w:spacing w:after="20" w:before="20"/>
            </w:pPr>
            <w:r/>
            <w:r>
              <w:rPr>
                <w:sz w:val="18"/>
              </w:rPr>
              <w:t>0.9 to 1.6 yr</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adverse case loses money.</w:t>
            </w:r>
            <w:r>
              <w:rPr>
                <w:sz w:val="20"/>
              </w:rPr>
              <w:t xml:space="preserve"> At 1.0M records, the low price, the high cost and the high capital, the plant is EBITDA-positive but does not cover depreciation. Utilisation and price realisation are not upside levers; they decide solvency.</w:t>
            </w:r>
          </w:p>
          <w:p>
            <w:pPr>
              <w:spacing w:after="60"/>
              <w:ind w:left="227"/>
            </w:pPr>
            <w:r>
              <w:rPr>
                <w:sz w:val="20"/>
              </w:rPr>
              <w:t xml:space="preserve">•  </w:t>
            </w:r>
            <w:r>
              <w:rPr>
                <w:b/>
                <w:sz w:val="20"/>
              </w:rPr>
              <w:t>The favourable case is not credible</w:t>
            </w:r>
            <w:r>
              <w:rPr>
                <w:sz w:val="20"/>
              </w:rPr>
              <w:t>, and that is a finding about the cost table, not the business. A 69% EBITDA margin is roughly triple what pressing plants earn; even the central case at ~47% is well above industry norms of 15 to 25%. The direct cost table counts only per-record consumables and direct payroll and almost certainly understates: missing at minimum are indirect production labour, consumables beyond those listed, scrap above the reject allowance, water and effluent, inbound freight, inventory carrying cost and sales commission. 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BOI tax exemptions shield part of early-year profits where there are any. The mix lever is real: colour, splatter and boutique runs carry 20 to 50% premiums and suit the semi-automatic line, and the title-services line has software-like margins once the rooms exist.</w:t>
            </w:r>
          </w:p>
        </w:tc>
      </w:tr>
    </w:tbl>
    <w:p>
      <w:pPr>
        <w:spacing w:after="40"/>
      </w:pPr>
    </w:p>
    <w:p>
      <w:pPr>
        <w:pStyle w:val="Heading2"/>
      </w:pPr>
      <w:r>
        <w:t>9.5 The ramp</w:t>
      </w:r>
    </w:p>
    <w:p>
      <w:r>
        <w:rPr/>
        <w:t>The operating picture above is the mature plant. The launch plant (one line, one shift) presses 90k to 135k records a year, which at the same blended price is USD 0.3M to 0.6M of pressing revenue plus title services, cassette and CD-R lines, and possibly stamper supply to the incumbent if galvanics comes early. It will not cover a full overhead base in year one, and early production runs slower and rejects more than any of these figures while the process settles. The Duplex expansion (second press on the existing hydraulics, ~USD 115k) is the first revenue-funded step and roughly doubles capacity for a small sum; it should be planned for year two. A year-by-year cash model belongs to the financing discussion and is a next step, not a claim this plan makes.</w:t>
      </w:r>
    </w:p>
    <w:p>
      <w:pPr>
        <w:pStyle w:val="Heading1"/>
      </w:pPr>
      <w:r>
        <w:t>10. Timeline: today to first paying release</w:t>
      </w:r>
    </w:p>
    <w:p>
      <w:r>
        <w:rPr/>
        <w:t xml:space="preserve">Anchored at September 2026. Every duration is an estimate; one of them is not documented anywhere and governs the whole schedule. </w:t>
      </w:r>
      <w:r>
        <w:rPr>
          <w:b/>
        </w:rPr>
        <w:t>First paying release lands around Q4 2028 to mid-2029, roughly 27 to 33 months from today.</w:t>
      </w:r>
      <w:r>
        <w:rPr/>
        <w:t xml:space="preserve"> The critical path is not construction:</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pPr>
            <w:r>
              <w:rPr>
                <w:sz w:val="20"/>
              </w:rPr>
              <w:t>BOI certificate → press order → press build → sea freight → commissioning. Everything else, including the entire building, has float against that chain. The two things that move the date are the BOI filing date and the press vendor's build time, and the second is not documented anywhere: 9 to 12 months is an industry-typical figure for a built-to-order system from a small German manufacturer and it carries about 40% of the schedule. If the real figure is 15 to 18 months, launch moves to mid-2029. The re-quote now being requested asks for quoted build time and order-book position; it is one line in an email and the single highest-value missing fact in the project.</w:t>
            </w:r>
          </w:p>
        </w:tc>
      </w:tr>
    </w:tbl>
    <w:p>
      <w:pPr>
        <w:spacing w:after="40"/>
      </w:pP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454"/>
            <w:shd w:val="clear" w:color="auto" w:fill="1F3864"/>
          </w:tcPr>
          <w:p>
            <w:pPr>
              <w:spacing w:after="20" w:before="20"/>
            </w:pPr>
            <w:r>
              <w:rPr>
                <w:b/>
              </w:rPr>
            </w:r>
            <w:r>
              <w:rPr>
                <w:b/>
                <w:color w:val="FFFFFF"/>
                <w:sz w:val="18"/>
              </w:rPr>
              <w:t>#</w:t>
            </w:r>
          </w:p>
        </w:tc>
        <w:tc>
          <w:tcPr>
            <w:tcW w:type="dxa" w:w="3969"/>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454"/>
          </w:tcPr>
          <w:p>
            <w:pPr>
              <w:spacing w:after="20" w:before="20"/>
            </w:pPr>
            <w:r/>
            <w:r>
              <w:rPr>
                <w:sz w:val="18"/>
              </w:rPr>
              <w:t>1</w:t>
            </w:r>
          </w:p>
        </w:tc>
        <w:tc>
          <w:tcPr>
            <w:tcW w:type="dxa" w:w="3969"/>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454"/>
            <w:shd w:val="clear" w:color="auto" w:fill="F2F5FA"/>
          </w:tcPr>
          <w:p>
            <w:pPr>
              <w:spacing w:after="20" w:before="20"/>
            </w:pPr>
            <w:r/>
            <w:r>
              <w:rPr>
                <w:sz w:val="18"/>
              </w:rPr>
              <w:t>2</w:t>
            </w:r>
          </w:p>
        </w:tc>
        <w:tc>
          <w:tcPr>
            <w:tcW w:type="dxa" w:w="3969"/>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454"/>
          </w:tcPr>
          <w:p>
            <w:pPr>
              <w:spacing w:after="20" w:before="20"/>
            </w:pPr>
            <w:r/>
            <w:r>
              <w:rPr>
                <w:sz w:val="18"/>
              </w:rPr>
              <w:t>3</w:t>
            </w:r>
          </w:p>
        </w:tc>
        <w:tc>
          <w:tcPr>
            <w:tcW w:type="dxa" w:w="3969"/>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454"/>
            <w:shd w:val="clear" w:color="auto" w:fill="F2F5FA"/>
          </w:tcPr>
          <w:p>
            <w:pPr>
              <w:spacing w:after="20" w:before="20"/>
            </w:pPr>
            <w:r/>
            <w:r>
              <w:rPr>
                <w:sz w:val="18"/>
              </w:rPr>
              <w:t>4</w:t>
            </w:r>
          </w:p>
        </w:tc>
        <w:tc>
          <w:tcPr>
            <w:tcW w:type="dxa" w:w="3969"/>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p>
        </w:tc>
      </w:tr>
      <w:tr>
        <w:trPr>
          <w:cantSplit/>
        </w:trPr>
        <w:tc>
          <w:tcPr>
            <w:tcW w:type="dxa" w:w="454"/>
          </w:tcPr>
          <w:p>
            <w:pPr>
              <w:spacing w:after="20" w:before="20"/>
            </w:pPr>
            <w:r/>
            <w:r>
              <w:rPr>
                <w:sz w:val="18"/>
              </w:rPr>
              <w:t>5</w:t>
            </w:r>
          </w:p>
        </w:tc>
        <w:tc>
          <w:tcPr>
            <w:tcW w:type="dxa" w:w="3969"/>
          </w:tcPr>
          <w:p>
            <w:pPr>
              <w:spacing w:after="20" w:before="20"/>
            </w:pPr>
            <w:r/>
            <w:r>
              <w:rPr>
                <w:sz w:val="18"/>
              </w:rPr>
              <w:t>Sea freight Germany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454"/>
            <w:shd w:val="clear" w:color="auto" w:fill="F2F5FA"/>
          </w:tcPr>
          <w:p>
            <w:pPr>
              <w:spacing w:after="20" w:before="20"/>
            </w:pPr>
            <w:r/>
            <w:r>
              <w:rPr>
                <w:sz w:val="18"/>
              </w:rPr>
              <w:t>6</w:t>
            </w:r>
          </w:p>
        </w:tc>
        <w:tc>
          <w:tcPr>
            <w:tcW w:type="dxa" w:w="3969"/>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454"/>
          </w:tcPr>
          <w:p>
            <w:pPr>
              <w:spacing w:after="20" w:before="20"/>
            </w:pPr>
            <w:r/>
            <w:r>
              <w:rPr>
                <w:sz w:val="18"/>
              </w:rPr>
              <w:t>7</w:t>
            </w:r>
          </w:p>
        </w:tc>
        <w:tc>
          <w:tcPr>
            <w:tcW w:type="dxa" w:w="3969"/>
          </w:tcPr>
          <w:p>
            <w:pPr>
              <w:spacing w:after="20" w:before="20"/>
            </w:pPr>
            <w:r/>
            <w:r>
              <w:rPr>
                <w:sz w:val="18"/>
              </w:rPr>
              <w:t>Test pressings, QC baseline, reject shakedown</w:t>
            </w:r>
          </w:p>
        </w:tc>
        <w:tc>
          <w:tcPr>
            <w:tcW w:type="dxa" w:w="1928"/>
          </w:tcPr>
          <w:p>
            <w:pPr>
              <w:spacing w:after="20" w:before="20"/>
            </w:pPr>
            <w:r/>
            <w:r>
              <w:rPr>
                <w:sz w:val="18"/>
              </w:rPr>
              <w:t>1.5 to 2 months</w:t>
            </w:r>
          </w:p>
        </w:tc>
        <w:tc>
          <w:tcPr>
            <w:tcW w:type="dxa" w:w="3288"/>
          </w:tcPr>
          <w:p>
            <w:pPr>
              <w:spacing w:after="20" w:before="20"/>
            </w:pPr>
            <w:r/>
            <w:r>
              <w:rPr>
                <w:sz w:val="18"/>
              </w:rPr>
              <w:t>Roadmap</w:t>
            </w:r>
          </w:p>
        </w:tc>
      </w:tr>
      <w:tr>
        <w:trPr>
          <w:cantSplit/>
        </w:trPr>
        <w:tc>
          <w:tcPr>
            <w:tcW w:type="dxa" w:w="454"/>
            <w:shd w:val="clear" w:color="auto" w:fill="F2F5FA"/>
          </w:tcPr>
          <w:p>
            <w:pPr>
              <w:spacing w:after="20" w:before="20"/>
            </w:pPr>
            <w:r/>
          </w:p>
        </w:tc>
        <w:tc>
          <w:tcPr>
            <w:tcW w:type="dxa" w:w="3969"/>
            <w:shd w:val="clear" w:color="auto" w:fill="F2F5FA"/>
          </w:tcPr>
          <w:p>
            <w:pPr>
              <w:spacing w:after="20" w:before="20"/>
            </w:pPr>
            <w:r/>
            <w:r>
              <w:rPr>
                <w:b/>
                <w:sz w:val="18"/>
              </w:rPr>
              <w:t>Total</w:t>
            </w:r>
          </w:p>
        </w:tc>
        <w:tc>
          <w:tcPr>
            <w:tcW w:type="dxa" w:w="1928"/>
            <w:shd w:val="clear" w:color="auto" w:fill="F2F5FA"/>
          </w:tcPr>
          <w:p>
            <w:pPr>
              <w:spacing w:after="20" w:before="20"/>
            </w:pPr>
            <w:r/>
            <w:r>
              <w:rPr>
                <w:b/>
                <w:sz w:val="18"/>
              </w:rPr>
              <w:t>~27 to 33 months</w:t>
            </w:r>
          </w:p>
        </w:tc>
        <w:tc>
          <w:tcPr>
            <w:tcW w:type="dxa" w:w="3288"/>
            <w:shd w:val="clear" w:color="auto" w:fill="F2F5FA"/>
          </w:tcPr>
          <w:p>
            <w:pPr>
              <w:spacing w:after="20" w:before="20"/>
            </w:pPr>
            <w:r/>
          </w:p>
        </w:tc>
      </w:tr>
    </w:tbl>
    <w:p>
      <w:pPr>
        <w:spacing w:after="40"/>
      </w:pP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268"/>
            <w:shd w:val="clear" w:color="auto" w:fill="1F3864"/>
          </w:tcPr>
          <w:p>
            <w:pPr>
              <w:spacing w:after="20" w:before="20"/>
            </w:pPr>
            <w:r>
              <w:rPr>
                <w:b/>
              </w:rPr>
            </w:r>
            <w:r>
              <w:rPr>
                <w:b/>
                <w:color w:val="FFFFFF"/>
                <w:sz w:val="18"/>
              </w:rPr>
              <w:t>Track (in parallel)</w:t>
            </w:r>
          </w:p>
        </w:tc>
        <w:tc>
          <w:tcPr>
            <w:tcW w:type="dxa" w:w="2268"/>
            <w:shd w:val="clear" w:color="auto" w:fill="1F3864"/>
          </w:tcPr>
          <w:p>
            <w:pPr>
              <w:spacing w:after="20" w:before="20"/>
            </w:pPr>
            <w:r>
              <w:rPr>
                <w:b/>
              </w:rPr>
            </w:r>
            <w:r>
              <w:rPr>
                <w:b/>
                <w:color w:val="FFFFFF"/>
                <w:sz w:val="18"/>
              </w:rPr>
              <w:t>Needed by</w:t>
            </w:r>
          </w:p>
        </w:tc>
        <w:tc>
          <w:tcPr>
            <w:tcW w:type="dxa" w:w="1361"/>
            <w:shd w:val="clear" w:color="auto" w:fill="1F3864"/>
          </w:tcPr>
          <w:p>
            <w:pPr>
              <w:spacing w:after="20" w:before="20"/>
            </w:pPr>
            <w:r>
              <w:rPr>
                <w:b/>
              </w:rPr>
            </w:r>
            <w:r>
              <w:rPr>
                <w:b/>
                <w:color w:val="FFFFFF"/>
                <w:sz w:val="18"/>
              </w:rPr>
              <w:t>Float</w:t>
            </w:r>
          </w:p>
        </w:tc>
        <w:tc>
          <w:tcPr>
            <w:tcW w:type="dxa" w:w="3742"/>
            <w:shd w:val="clear" w:color="auto" w:fill="1F3864"/>
          </w:tcPr>
          <w:p>
            <w:pPr>
              <w:spacing w:after="20" w:before="20"/>
            </w:pPr>
            <w:r>
              <w:rPr>
                <w:b/>
              </w:rPr>
            </w:r>
            <w:r>
              <w:rPr>
                <w:b/>
                <w:color w:val="FFFFFF"/>
                <w:sz w:val="18"/>
              </w:rPr>
              <w:t>Becomes critical if</w:t>
            </w:r>
          </w:p>
        </w:tc>
      </w:tr>
      <w:tr>
        <w:trPr>
          <w:cantSplit/>
        </w:trPr>
        <w:tc>
          <w:tcPr>
            <w:tcW w:type="dxa" w:w="2268"/>
          </w:tcPr>
          <w:p>
            <w:pPr>
              <w:spacing w:after="20" w:before="20"/>
            </w:pPr>
            <w:r/>
            <w:r>
              <w:rPr>
                <w:sz w:val="18"/>
              </w:rPr>
              <w:t>Land lease, zoning, soil test</w:t>
            </w:r>
          </w:p>
        </w:tc>
        <w:tc>
          <w:tcPr>
            <w:tcW w:type="dxa" w:w="2268"/>
          </w:tcPr>
          <w:p>
            <w:pPr>
              <w:spacing w:after="20" w:before="20"/>
            </w:pPr>
            <w:r/>
            <w:r>
              <w:rPr>
                <w:sz w:val="18"/>
              </w:rPr>
              <w:t>Design start, ~Q1 2027</w:t>
            </w:r>
          </w:p>
        </w:tc>
        <w:tc>
          <w:tcPr>
            <w:tcW w:type="dxa" w:w="1361"/>
          </w:tcPr>
          <w:p>
            <w:pPr>
              <w:spacing w:after="20" w:before="20"/>
            </w:pPr>
            <w:r/>
            <w:r>
              <w:rPr>
                <w:sz w:val="18"/>
              </w:rPr>
              <w:t>~4 months</w:t>
            </w:r>
          </w:p>
        </w:tc>
        <w:tc>
          <w:tcPr>
            <w:tcW w:type="dxa" w:w="3742"/>
          </w:tcPr>
          <w:p>
            <w:pPr>
              <w:spacing w:after="20" w:before="20"/>
            </w:pPr>
            <w:r/>
            <w:r>
              <w:rPr>
                <w:sz w:val="18"/>
              </w:rPr>
              <w:t>Zoning fails and a new site is needed (~6 months reset)</w:t>
            </w:r>
          </w:p>
        </w:tc>
      </w:tr>
      <w:tr>
        <w:trPr>
          <w:cantSplit/>
        </w:trPr>
        <w:tc>
          <w:tcPr>
            <w:tcW w:type="dxa" w:w="2268"/>
            <w:shd w:val="clear" w:color="auto" w:fill="F2F5FA"/>
          </w:tcPr>
          <w:p>
            <w:pPr>
              <w:spacing w:after="20" w:before="20"/>
            </w:pPr>
            <w:r/>
            <w:r>
              <w:rPr>
                <w:sz w:val="18"/>
              </w:rPr>
              <w:t>Phase 1 construction</w:t>
            </w:r>
          </w:p>
        </w:tc>
        <w:tc>
          <w:tcPr>
            <w:tcW w:type="dxa" w:w="2268"/>
            <w:shd w:val="clear" w:color="auto" w:fill="F2F5FA"/>
          </w:tcPr>
          <w:p>
            <w:pPr>
              <w:spacing w:after="20" w:before="20"/>
            </w:pPr>
            <w:r/>
            <w:r>
              <w:rPr>
                <w:sz w:val="18"/>
              </w:rPr>
              <w:t>Machinery arrival, ~Q3 2028</w:t>
            </w:r>
          </w:p>
        </w:tc>
        <w:tc>
          <w:tcPr>
            <w:tcW w:type="dxa" w:w="1361"/>
            <w:shd w:val="clear" w:color="auto" w:fill="F2F5FA"/>
          </w:tcPr>
          <w:p>
            <w:pPr>
              <w:spacing w:after="20" w:before="20"/>
            </w:pPr>
            <w:r/>
            <w:r>
              <w:rPr>
                <w:sz w:val="18"/>
              </w:rPr>
              <w:t>~3 to 5 months</w:t>
            </w:r>
          </w:p>
        </w:tc>
        <w:tc>
          <w:tcPr>
            <w:tcW w:type="dxa" w:w="3742"/>
            <w:shd w:val="clear" w:color="auto" w:fill="F2F5FA"/>
          </w:tcPr>
          <w:p>
            <w:pPr>
              <w:spacing w:after="20" w:before="20"/>
            </w:pPr>
            <w:r/>
            <w:r>
              <w:rPr>
                <w:sz w:val="18"/>
              </w:rPr>
              <w:t>Soft soil forces piling, or permits stall</w:t>
            </w:r>
          </w:p>
        </w:tc>
      </w:tr>
      <w:tr>
        <w:trPr>
          <w:cantSplit/>
        </w:trPr>
        <w:tc>
          <w:tcPr>
            <w:tcW w:type="dxa" w:w="2268"/>
          </w:tcPr>
          <w:p>
            <w:pPr>
              <w:spacing w:after="20" w:before="20"/>
            </w:pPr>
            <w:r/>
            <w:r>
              <w:rPr>
                <w:sz w:val="18"/>
              </w:rPr>
              <w:t>Factory licence (Ror.Ngor. 4)</w:t>
            </w:r>
          </w:p>
        </w:tc>
        <w:tc>
          <w:tcPr>
            <w:tcW w:type="dxa" w:w="2268"/>
          </w:tcPr>
          <w:p>
            <w:pPr>
              <w:spacing w:after="20" w:before="20"/>
            </w:pPr>
            <w:r/>
            <w:r>
              <w:rPr>
                <w:sz w:val="18"/>
              </w:rPr>
              <w:t>First production, Q4 2028</w:t>
            </w:r>
          </w:p>
        </w:tc>
        <w:tc>
          <w:tcPr>
            <w:tcW w:type="dxa" w:w="1361"/>
          </w:tcPr>
          <w:p>
            <w:pPr>
              <w:spacing w:after="20" w:before="20"/>
            </w:pPr>
            <w:r/>
            <w:r>
              <w:rPr>
                <w:sz w:val="18"/>
              </w:rPr>
              <w:t>~4 months</w:t>
            </w:r>
          </w:p>
        </w:tc>
        <w:tc>
          <w:tcPr>
            <w:tcW w:type="dxa" w:w="3742"/>
          </w:tcPr>
          <w:p>
            <w:pPr>
              <w:spacing w:after="20" w:before="20"/>
            </w:pPr>
            <w:r/>
            <w:r>
              <w:rPr>
                <w:sz w:val="18"/>
              </w:rPr>
              <w:t>Galvanics effluent scope is raised early; keep it out of the phase 1 licence scope unless galvanics moves forward</w:t>
            </w:r>
          </w:p>
        </w:tc>
      </w:tr>
      <w:tr>
        <w:trPr>
          <w:cantSplit/>
        </w:trPr>
        <w:tc>
          <w:tcPr>
            <w:tcW w:type="dxa" w:w="2268"/>
            <w:shd w:val="clear" w:color="auto" w:fill="F2F5FA"/>
          </w:tcPr>
          <w:p>
            <w:pPr>
              <w:spacing w:after="20" w:before="20"/>
            </w:pPr>
            <w:r/>
            <w:r>
              <w:rPr>
                <w:sz w:val="18"/>
              </w:rPr>
              <w:t>Solar and battery</w:t>
            </w:r>
          </w:p>
        </w:tc>
        <w:tc>
          <w:tcPr>
            <w:tcW w:type="dxa" w:w="2268"/>
            <w:shd w:val="clear" w:color="auto" w:fill="F2F5FA"/>
          </w:tcPr>
          <w:p>
            <w:pPr>
              <w:spacing w:after="20" w:before="20"/>
            </w:pPr>
            <w:r/>
            <w:r>
              <w:rPr>
                <w:sz w:val="18"/>
              </w:rPr>
              <w:t>Fit-out, ~Q2 2028</w:t>
            </w:r>
          </w:p>
        </w:tc>
        <w:tc>
          <w:tcPr>
            <w:tcW w:type="dxa" w:w="1361"/>
            <w:shd w:val="clear" w:color="auto" w:fill="F2F5FA"/>
          </w:tcPr>
          <w:p>
            <w:pPr>
              <w:spacing w:after="20" w:before="20"/>
            </w:pPr>
            <w:r/>
            <w:r>
              <w:rPr>
                <w:sz w:val="18"/>
              </w:rPr>
              <w:t>Large</w:t>
            </w:r>
          </w:p>
        </w:tc>
        <w:tc>
          <w:tcPr>
            <w:tcW w:type="dxa" w:w="3742"/>
            <w:shd w:val="clear" w:color="auto" w:fill="F2F5FA"/>
          </w:tcPr>
          <w:p>
            <w:pPr>
              <w:spacing w:after="20" w:before="20"/>
            </w:pPr>
            <w:r/>
            <w:r>
              <w:rPr>
                <w:sz w:val="18"/>
              </w:rPr>
              <w:t>Not a risk; battery lead is 50 to 60 days</w:t>
            </w:r>
          </w:p>
        </w:tc>
      </w:tr>
      <w:tr>
        <w:trPr>
          <w:cantSplit/>
        </w:trPr>
        <w:tc>
          <w:tcPr>
            <w:tcW w:type="dxa" w:w="2268"/>
          </w:tcPr>
          <w:p>
            <w:pPr>
              <w:spacing w:after="20" w:before="20"/>
            </w:pPr>
            <w:r/>
            <w:r>
              <w:rPr>
                <w:sz w:val="18"/>
              </w:rPr>
              <w:t>Cassette and CD-R lines</w:t>
            </w:r>
          </w:p>
        </w:tc>
        <w:tc>
          <w:tcPr>
            <w:tcW w:type="dxa" w:w="2268"/>
          </w:tcPr>
          <w:p>
            <w:pPr>
              <w:spacing w:after="20" w:before="20"/>
            </w:pPr>
            <w:r/>
            <w:r>
              <w:rPr>
                <w:sz w:val="18"/>
              </w:rPr>
              <w:t>Fit-out, ~Q2 2028</w:t>
            </w:r>
          </w:p>
        </w:tc>
        <w:tc>
          <w:tcPr>
            <w:tcW w:type="dxa" w:w="1361"/>
          </w:tcPr>
          <w:p>
            <w:pPr>
              <w:spacing w:after="20" w:before="20"/>
            </w:pPr>
            <w:r/>
            <w:r>
              <w:rPr>
                <w:sz w:val="18"/>
              </w:rPr>
              <w:t>Large</w:t>
            </w:r>
          </w:p>
        </w:tc>
        <w:tc>
          <w:tcPr>
            <w:tcW w:type="dxa" w:w="3742"/>
          </w:tcPr>
          <w:p>
            <w:pPr>
              <w:spacing w:after="20" w:before="20"/>
            </w:pPr>
            <w:r/>
            <w:r>
              <w:rPr>
                <w:sz w:val="18"/>
              </w:rPr>
              <w:t>Not a risk; short lead times</w:t>
            </w:r>
          </w:p>
        </w:tc>
      </w:tr>
      <w:tr>
        <w:trPr>
          <w:cantSplit/>
        </w:trPr>
        <w:tc>
          <w:tcPr>
            <w:tcW w:type="dxa" w:w="2268"/>
            <w:shd w:val="clear" w:color="auto" w:fill="F2F5FA"/>
          </w:tcPr>
          <w:p>
            <w:pPr>
              <w:spacing w:after="20" w:before="20"/>
            </w:pPr>
            <w:r/>
            <w:r>
              <w:rPr>
                <w:sz w:val="18"/>
              </w:rPr>
              <w:t>Hiring and training</w:t>
            </w:r>
          </w:p>
        </w:tc>
        <w:tc>
          <w:tcPr>
            <w:tcW w:type="dxa" w:w="2268"/>
            <w:shd w:val="clear" w:color="auto" w:fill="F2F5FA"/>
          </w:tcPr>
          <w:p>
            <w:pPr>
              <w:spacing w:after="20" w:before="20"/>
            </w:pPr>
            <w:r/>
            <w:r>
              <w:rPr>
                <w:sz w:val="18"/>
              </w:rPr>
              <w:t>Commissioning, ~Q3 2028</w:t>
            </w:r>
          </w:p>
        </w:tc>
        <w:tc>
          <w:tcPr>
            <w:tcW w:type="dxa" w:w="1361"/>
            <w:shd w:val="clear" w:color="auto" w:fill="F2F5FA"/>
          </w:tcPr>
          <w:p>
            <w:pPr>
              <w:spacing w:after="20" w:before="20"/>
            </w:pPr>
            <w:r/>
            <w:r>
              <w:rPr>
                <w:sz w:val="18"/>
              </w:rPr>
              <w:t>~2 months</w:t>
            </w:r>
          </w:p>
        </w:tc>
        <w:tc>
          <w:tcPr>
            <w:tcW w:type="dxa" w:w="3742"/>
            <w:shd w:val="clear" w:color="auto" w:fill="F2F5FA"/>
          </w:tcPr>
          <w:p>
            <w:pPr>
              <w:spacing w:after="20" w:before="20"/>
            </w:pPr>
            <w:r/>
            <w:r>
              <w:rPr>
                <w:sz w:val="18"/>
              </w:rPr>
              <w:t>Galvanics expertise if galvanics moves forward: the hardest skill to hire</w:t>
            </w:r>
          </w:p>
        </w:tc>
      </w:tr>
    </w:tbl>
    <w:p>
      <w:pPr>
        <w:spacing w:after="40"/>
      </w:pPr>
    </w:p>
    <w:p>
      <w:r>
        <w:rPr>
          <w:b/>
        </w:rPr>
        <w:t>BOI windows are comfortable</w:t>
      </w:r>
      <w:r>
        <w:rPr/>
        <w:t xml:space="preserve"> on this schedule: machinery clears customs ~Q3 2028 against a 30-month import window ending ~Q4 2029, and first production ~Q4 2028 against a ~36-month full-operation deadline. The margin is consumed by exactly one scenario: filing early to start the clock and then discovering the site does not work. Verify zoning before filing.</w:t>
      </w:r>
    </w:p>
    <w:p>
      <w:r>
        <w:rPr>
          <w:b/>
        </w:rPr>
        <w:t>Leasing does not by itself pull the launch forward.</w:t>
      </w:r>
      <w:r>
        <w:rPr/>
        <w:t xml:space="preserve"> Construction has only 3 to 5 months of float against the press chain; removing purchase money from the plan does not move the end date. Only the press order moves it, which is the BOI sequencing question in section 7. The two are one lever, not two.</w:t>
      </w:r>
    </w:p>
    <w:p>
      <w:r>
        <w:rPr>
          <w:b/>
        </w:rPr>
        <w:t>What a delay costs.</w:t>
      </w:r>
      <w:r>
        <w:rPr/>
        <w:t xml:space="preserve"> A month lost engaging the BOI consultant costs a month of launch. A month lost on land or construction costs nothing until the float is gone. A month lost getting the press lead time in writing costs nothing today and may cost six months of surprise later.</w:t>
      </w:r>
    </w:p>
    <w:p>
      <w:pPr>
        <w:pStyle w:val="Heading1"/>
      </w:pPr>
      <w:r>
        <w:t>11. Phasing, and the one sequencing question that matters</w:t>
      </w:r>
    </w:p>
    <w:p>
      <w:r>
        <w:rPr/>
        <w:t>Nothing in phases 2 to 5 starts before its gate clears: no machinery order before the BOI certificate, no large spending before the market validates the price, no coppice planning before the land-title check. The phased entry is the default path; the full vision is reached through it, not instead of it.</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at Making Vinyl and with regional labels; BOI consultant, activity code, application; lease terms, zoning, soil test; 60 rai title check; re-quotes from Newbilt, Pheenix, Digital Matrix, Stamper Discs, building contractors, Thai utility vendors; solar and battery engineering checks</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site selection between the Mueang Chi lease and the industrial estate; resolve the 35% vs 45%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press order; sign the lease; order long-lead items; written stamper turnaround agreement with Stamper Discs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utilities, HVAC, solar, battery, security; machinery installation and vendor commissioning; traceability v1; cassette and CD-R lines; hire and train</w:t>
            </w:r>
          </w:p>
        </w:tc>
        <w:tc>
          <w:tcPr>
            <w:tcW w:type="dxa" w:w="1814"/>
            <w:shd w:val="clear" w:color="auto" w:fill="F2F5FA"/>
          </w:tcPr>
          <w:p>
            <w:pPr>
              <w:spacing w:after="20" w:before="20"/>
            </w:pPr>
            <w:r/>
            <w:r>
              <w:rPr>
                <w:sz w:val="17"/>
              </w:rPr>
              <w:t>Building permit, press build confirmed</w:t>
            </w:r>
          </w:p>
        </w:tc>
      </w:tr>
      <w:tr>
        <w:trPr>
          <w:cantSplit/>
        </w:trPr>
        <w:tc>
          <w:tcPr>
            <w:tcW w:type="dxa" w:w="2381"/>
          </w:tcPr>
          <w:p>
            <w:pPr>
              <w:spacing w:after="20" w:before="20"/>
            </w:pPr>
            <w:r/>
            <w:r>
              <w:rPr>
                <w:sz w:val="17"/>
              </w:rPr>
              <w:t>4. Launch (pressing with bridge stampers)</w:t>
            </w:r>
          </w:p>
        </w:tc>
        <w:tc>
          <w:tcPr>
            <w:tcW w:type="dxa" w:w="5443"/>
          </w:tcPr>
          <w:p>
            <w:pPr>
              <w:spacing w:after="20" w:before="20"/>
            </w:pPr>
            <w:r/>
            <w:r>
              <w:rPr>
                <w:sz w:val="17"/>
              </w:rPr>
              <w:t>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Duplex second press; galvanics line with zero-discharge water; automatic presses; full metrology and the audio QC station; biomass boiler; mastering and cutting room; phase 2 building; CD replication if chosen</w:t>
            </w:r>
          </w:p>
        </w:tc>
        <w:tc>
          <w:tcPr>
            <w:tcW w:type="dxa" w:w="1814"/>
            <w:shd w:val="clear" w:color="auto" w:fill="F2F5FA"/>
          </w:tcPr>
          <w:p>
            <w:pPr>
              <w:spacing w:after="20" w:before="20"/>
            </w:pPr>
            <w:r/>
            <w:r>
              <w:rPr>
                <w:sz w:val="17"/>
              </w:rPr>
              <w:t>Revenue and second-round capital</w:t>
            </w:r>
          </w:p>
        </w:tc>
      </w:tr>
    </w:tbl>
    <w:p>
      <w:pPr>
        <w:spacing w:after="40"/>
      </w:pPr>
    </w:p>
    <w:p>
      <w:pPr>
        <w:pStyle w:val="Heading2"/>
      </w:pPr>
      <w:r>
        <w:t>Should galvanics come first rather than fifth?</w:t>
      </w:r>
    </w:p>
    <w:p>
      <w:r>
        <w:rPr/>
        <w:t>The roadmap places the plating line in phase 5. The August 2026 market evidence argues for costing an earlier start, and the investor should decide with the following in view:</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 moving galvanics to phase 1</w:t>
            </w:r>
          </w:p>
        </w:tc>
        <w:tc>
          <w:tcPr>
            <w:tcW w:type="dxa" w:w="4819"/>
            <w:shd w:val="clear" w:color="auto" w:fill="1F3864"/>
          </w:tcPr>
          <w:p>
            <w:pPr>
              <w:spacing w:after="20" w:before="20"/>
            </w:pPr>
            <w:r>
              <w:rPr>
                <w:b/>
              </w:rPr>
            </w:r>
            <w:r>
              <w:rPr>
                <w:b/>
                <w:color w:val="FFFFFF"/>
                <w:sz w:val="17"/>
              </w:rPr>
              <w:t>Against</w:t>
            </w:r>
          </w:p>
        </w:tc>
      </w:tr>
      <w:tr>
        <w:trPr>
          <w:cantSplit/>
        </w:trPr>
        <w:tc>
          <w:tcPr>
            <w:tcW w:type="dxa" w:w="4819"/>
          </w:tcPr>
          <w:p>
            <w:pPr>
              <w:spacing w:after="20" w:before="20"/>
            </w:pPr>
            <w:r/>
            <w:r>
              <w:rPr>
                <w:sz w:val="17"/>
              </w:rPr>
              <w:t>It addresses the market's actual bottleneck: imported metalwork, not press capacity. The incumbent turns away small runs and adds weeks above 3,000 units, most plausibly because every stamper set is an overseas order.</w:t>
            </w:r>
          </w:p>
        </w:tc>
        <w:tc>
          <w:tcPr>
            <w:tcW w:type="dxa" w:w="4819"/>
          </w:tcPr>
          <w:p>
            <w:pPr>
              <w:spacing w:after="20" w:before="20"/>
            </w:pPr>
            <w:r/>
            <w:r>
              <w:rPr>
                <w:sz w:val="17"/>
              </w:rPr>
              <w:t>It still needs a clean room, zero-discharge water treatment and hazardous-substance permitting, which is the most likely regulatory friction point in the whole project.</w:t>
            </w:r>
          </w:p>
        </w:tc>
      </w:tr>
      <w:tr>
        <w:trPr>
          <w:cantSplit/>
        </w:trPr>
        <w:tc>
          <w:tcPr>
            <w:tcW w:type="dxa" w:w="4819"/>
            <w:shd w:val="clear" w:color="auto" w:fill="F2F5FA"/>
          </w:tcPr>
          <w:p>
            <w:pPr>
              <w:spacing w:after="20" w:before="20"/>
            </w:pPr>
            <w:r/>
            <w:r>
              <w:rPr>
                <w:sz w:val="17"/>
              </w:rPr>
              <w:t>It is a fraction of the full capital (USD 320k to 650k plus 90k to 240k water) and is driven by title count, not record volume: payback at 300 titles a year is one to five years depending on which end of the saving range holds.</w:t>
            </w:r>
          </w:p>
        </w:tc>
        <w:tc>
          <w:tcPr>
            <w:tcW w:type="dxa" w:w="4819"/>
            <w:shd w:val="clear" w:color="auto" w:fill="F2F5FA"/>
          </w:tcPr>
          <w:p>
            <w:pPr>
              <w:spacing w:after="20" w:before="20"/>
            </w:pPr>
            <w:r/>
            <w:r>
              <w:rPr>
                <w:sz w:val="17"/>
              </w:rPr>
              <w:t>It is the hardest skill to hire. No plating expertise exists in the country; the process engineer comes from abroad or is trained abroad.</w:t>
            </w:r>
          </w:p>
        </w:tc>
      </w:tr>
      <w:tr>
        <w:trPr>
          <w:cantSplit/>
        </w:trPr>
        <w:tc>
          <w:tcPr>
            <w:tcW w:type="dxa" w:w="4819"/>
          </w:tcPr>
          <w:p>
            <w:pPr>
              <w:spacing w:after="20" w:before="20"/>
            </w:pPr>
            <w:r/>
            <w:r>
              <w:rPr>
                <w:sz w:val="17"/>
              </w:rPr>
              <w:t>It could earn before CNX's own press hall exists, by supplying stampers into the incumbent's spare press capacity: 300 titles a year at wholesale might net USD 60k to 100k of contribution, a useful offset against the capital.</w:t>
            </w:r>
          </w:p>
        </w:tc>
        <w:tc>
          <w:tcPr>
            <w:tcW w:type="dxa" w:w="4819"/>
          </w:tcPr>
          <w:p>
            <w:pPr>
              <w:spacing w:after="20" w:before="20"/>
            </w:pPr>
            <w:r/>
            <w:r>
              <w:rPr>
                <w:sz w:val="17"/>
              </w:rPr>
              <w:t>That offset is not a business case: it assumes a competitor moves its entire stamper supply to a new entrant who is also its rival, and the incumbent's actual title count is unknown.</w:t>
            </w:r>
          </w:p>
        </w:tc>
      </w:tr>
      <w:tr>
        <w:trPr>
          <w:cantSplit/>
        </w:trPr>
        <w:tc>
          <w:tcPr>
            <w:tcW w:type="dxa" w:w="4819"/>
            <w:shd w:val="clear" w:color="auto" w:fill="F2F5FA"/>
          </w:tcPr>
          <w:p>
            <w:pPr>
              <w:spacing w:after="20" w:before="20"/>
            </w:pPr>
            <w:r/>
            <w:r>
              <w:rPr>
                <w:sz w:val="17"/>
              </w:rPr>
              <w:t>It removes the launch plan's dependence on a single small UK supplier with no documented Asian customers and two international freight legs per job.</w:t>
            </w:r>
          </w:p>
        </w:tc>
        <w:tc>
          <w:tcPr>
            <w:tcW w:type="dxa" w:w="4819"/>
            <w:shd w:val="clear" w:color="auto" w:fill="F2F5FA"/>
          </w:tcPr>
          <w:p>
            <w:pPr>
              <w:spacing w:after="20" w:before="20"/>
            </w:pPr>
            <w:r/>
            <w:r>
              <w:rPr>
                <w:sz w:val="17"/>
              </w:rPr>
              <w:t>The saving is measured against the wrong supplier: CNX's avoided cost at launch is the Stamper Discs price, which has not been quoted yet.</w:t>
            </w:r>
          </w:p>
        </w:tc>
      </w:tr>
    </w:tbl>
    <w:p>
      <w:pPr>
        <w:spacing w:after="40"/>
      </w:pPr>
    </w:p>
    <w:p>
      <w:r>
        <w:rPr>
          <w:b/>
        </w:rPr>
        <w:t>Recommendation:</w:t>
      </w:r>
      <w:r>
        <w:rPr/>
        <w:t xml:space="preserve"> get the Stamper Discs quote and a line-itemised full-service invoice from the incumbent in phase 0, cost the galvanics room properly with Digital Matrix and a Thai water vendor, and put the decision to the investor with real numbers before the BOI application is finalised, because the galvanics effluent changes the licence scope.</w:t>
      </w:r>
    </w:p>
    <w:p>
      <w:pPr>
        <w:pStyle w:val="Heading1"/>
      </w:pPr>
      <w:r>
        <w:t>12. Team, ownership and governance</w:t>
      </w:r>
    </w:p>
    <w:p>
      <w:pPr>
        <w:pStyle w:val="Heading2"/>
      </w:pPr>
      <w:r>
        <w:t>12.1 The people</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Owns the commercial side: market validation, label relationships, the Making Vinyl outreach, the BOI track and the site.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Owns the plant: equipment selection and vendor negotiation, the utility and efficiency architecture, the parametric building model, the traceability and QC specification, and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 engineering, sustainability and project management.</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To be hired</w:t>
            </w:r>
          </w:p>
        </w:tc>
        <w:tc>
          <w:tcPr>
            <w:tcW w:type="dxa" w:w="6917"/>
          </w:tcPr>
          <w:p>
            <w:pPr>
              <w:spacing w:after="20" w:before="20"/>
            </w:pPr>
            <w:r/>
            <w:r>
              <w:rPr>
                <w:sz w:val="18"/>
              </w:rPr>
              <w:t>Plant manager; galvanics process engineer (when galvanics is built); mastering and cutting engineer (when the room is built); QC lead; maintenance; press and finishing operators; sales and customer service for the label relationship and the traceability portal.</w:t>
            </w:r>
          </w:p>
        </w:tc>
      </w:tr>
      <w:tr>
        <w:trPr>
          <w:cantSplit/>
        </w:trPr>
        <w:tc>
          <w:tcPr>
            <w:tcW w:type="dxa" w:w="2721"/>
            <w:shd w:val="clear" w:color="auto" w:fill="F2F5FA"/>
          </w:tcPr>
          <w:p>
            <w:pPr>
              <w:spacing w:after="20" w:before="20"/>
            </w:pPr>
            <w:r/>
            <w:r>
              <w:rPr>
                <w:sz w:val="18"/>
              </w:rPr>
              <w:t>External</w:t>
            </w:r>
          </w:p>
        </w:tc>
        <w:tc>
          <w:tcPr>
            <w:tcW w:type="dxa" w:w="6917"/>
            <w:shd w:val="clear" w:color="auto" w:fill="F2F5FA"/>
          </w:tcPr>
          <w:p>
            <w:pPr>
              <w:spacing w:after="20" w:before="20"/>
            </w:pPr>
            <w:r/>
            <w:r>
              <w:rPr>
                <w:sz w:val="18"/>
              </w:rPr>
              <w:t>BOI-registered consultant; Thai counsel for the lease, company and shareholder agreement; optional vinyl manufacturing consultancy for layout, installation and training (GBP 10k to 20k packages); Newbilt commissioning; property insurer.</w:t>
            </w:r>
          </w:p>
        </w:tc>
      </w:tr>
    </w:tbl>
    <w:p>
      <w:pPr>
        <w:spacing w:after="40"/>
      </w:pPr>
    </w:p>
    <w:p>
      <w:r>
        <w:rPr/>
        <w:t>Headcount at maturity is roughly 15 to 25 across shifts (4 to 6 press and finishing operators per shift, 2 to 3 galvanics, 1 to 2 mastering, 1 to 2 QC, 2 maintenance, 3 to 5 admin, sales and logistics), fewer than half that at launch, plus 1 to 2 for the cassette and CD-R lines.</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w:t>
      </w:r>
    </w:p>
    <w:p>
      <w:pPr>
        <w:pStyle w:val="ListBullet"/>
      </w:pPr>
      <w:r>
        <w:rPr>
          <w:b/>
        </w:rPr>
        <w:t>A shareholders' agreement</w:t>
      </w:r>
      <w:r>
        <w:rPr/>
        <w:t xml:space="preserve"> covering board composition, reserved matters (capital calls, phase 5 expansions,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Making Vinyl, regional label conversations, a second Thai data point; no big-block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w:t>
            </w:r>
          </w:p>
        </w:tc>
        <w:tc>
          <w:tcPr>
            <w:tcW w:type="dxa" w:w="2948"/>
            <w:shd w:val="clear" w:color="auto" w:fill="F2F5FA"/>
          </w:tcPr>
          <w:p>
            <w:pPr>
              <w:spacing w:after="20" w:before="20"/>
            </w:pPr>
            <w:r/>
            <w:r>
              <w:rPr>
                <w:sz w:val="16"/>
              </w:rPr>
              <w:t>The cost structure is mostly fixed; 60% utilisation at mature size cuts operating profit by more than half; the adverse case is loss-making at full volume</w:t>
            </w:r>
          </w:p>
        </w:tc>
        <w:tc>
          <w:tcPr>
            <w:tcW w:type="dxa" w:w="3515"/>
            <w:shd w:val="clear" w:color="auto" w:fill="F2F5FA"/>
          </w:tcPr>
          <w:p>
            <w:pPr>
              <w:spacing w:after="20" w:before="20"/>
            </w:pPr>
            <w:r/>
            <w:r>
              <w:rPr>
                <w:sz w:val="16"/>
              </w:rPr>
              <w:t>Phase capacity behind demand: one line, then Duplex, then automatic presses, each revenue-gated; hold spare capacity as the turnaround promise requires</w:t>
            </w:r>
          </w:p>
        </w:tc>
      </w:tr>
      <w:tr>
        <w:trPr>
          <w:cantSplit/>
        </w:trPr>
        <w:tc>
          <w:tcPr>
            <w:tcW w:type="dxa" w:w="907"/>
          </w:tcPr>
          <w:p>
            <w:pPr>
              <w:spacing w:after="20" w:before="20"/>
            </w:pPr>
            <w:r/>
            <w:r>
              <w:rPr>
                <w:sz w:val="16"/>
              </w:rPr>
              <w:t>High</w:t>
            </w:r>
          </w:p>
        </w:tc>
        <w:tc>
          <w:tcPr>
            <w:tcW w:type="dxa" w:w="2268"/>
          </w:tcPr>
          <w:p>
            <w:pPr>
              <w:spacing w:after="20" w:before="20"/>
            </w:pPr>
            <w:r/>
            <w:r>
              <w:rPr>
                <w:sz w:val="16"/>
              </w:rPr>
              <w:t>Press build time unknown</w:t>
            </w:r>
          </w:p>
        </w:tc>
        <w:tc>
          <w:tcPr>
            <w:tcW w:type="dxa" w:w="2948"/>
          </w:tcPr>
          <w:p>
            <w:pPr>
              <w:spacing w:after="20" w:before="20"/>
            </w:pPr>
            <w:r/>
            <w:r>
              <w:rPr>
                <w:sz w:val="16"/>
              </w:rPr>
              <w:t>Carries ~40% of the schedule; 15 to 18 months would push launch to mid-2029</w:t>
            </w:r>
          </w:p>
        </w:tc>
        <w:tc>
          <w:tcPr>
            <w:tcW w:type="dxa" w:w="3515"/>
          </w:tcPr>
          <w:p>
            <w:pPr>
              <w:spacing w:after="20" w:before="20"/>
            </w:pPr>
            <w:r/>
            <w:r>
              <w:rPr>
                <w:sz w:val="16"/>
              </w:rPr>
              <w:t>Required field in the Newbilt and Pheenix re-quotes,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candidate parcel unverified</w:t>
            </w:r>
          </w:p>
        </w:tc>
        <w:tc>
          <w:tcPr>
            <w:tcW w:type="dxa" w:w="2948"/>
            <w:shd w:val="clear" w:color="auto" w:fill="F2F5FA"/>
          </w:tcPr>
          <w:p>
            <w:pPr>
              <w:spacing w:after="20" w:before="20"/>
            </w:pPr>
            <w:r/>
            <w:r>
              <w:rPr>
                <w:sz w:val="16"/>
              </w:rPr>
              <w:t>Gates phase 1 as much as phase 2; a site reset costs ~6 months</w:t>
            </w:r>
          </w:p>
        </w:tc>
        <w:tc>
          <w:tcPr>
            <w:tcW w:type="dxa" w:w="3515"/>
            <w:shd w:val="clear" w:color="auto" w:fill="F2F5FA"/>
          </w:tcPr>
          <w:p>
            <w:pPr>
              <w:spacing w:after="20" w:before="20"/>
            </w:pPr>
            <w:r/>
            <w:r>
              <w:rPr>
                <w:sz w:val="16"/>
              </w:rPr>
              <w:t>Verify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Bridge stamper supplier</w:t>
            </w:r>
          </w:p>
        </w:tc>
        <w:tc>
          <w:tcPr>
            <w:tcW w:type="dxa" w:w="2948"/>
          </w:tcPr>
          <w:p>
            <w:pPr>
              <w:spacing w:after="20" w:before="20"/>
            </w:pPr>
            <w:r/>
            <w:r>
              <w:rPr>
                <w:sz w:val="16"/>
              </w:rPr>
              <w:t>Launch lead time rests on one small UK supplier with no Asian customers; the 10 to 20 day external metal block is unmeasured</w:t>
            </w:r>
          </w:p>
        </w:tc>
        <w:tc>
          <w:tcPr>
            <w:tcW w:type="dxa" w:w="3515"/>
          </w:tcPr>
          <w:p>
            <w:pPr>
              <w:spacing w:after="20" w:before="20"/>
            </w:pPr>
            <w:r/>
            <w:r>
              <w:rPr>
                <w:sz w:val="16"/>
              </w:rPr>
              <w:t>Written turnaround agreement; cost the galvanics-first option (section 11)</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 and skills</w:t>
            </w:r>
          </w:p>
        </w:tc>
        <w:tc>
          <w:tcPr>
            <w:tcW w:type="dxa" w:w="2948"/>
            <w:shd w:val="clear" w:color="auto" w:fill="F2F5FA"/>
          </w:tcPr>
          <w:p>
            <w:pPr>
              <w:spacing w:after="20" w:before="20"/>
            </w:pPr>
            <w:r/>
            <w:r>
              <w:rPr>
                <w:sz w:val="16"/>
              </w:rPr>
              <w:t>Effluent permitting is the most likely regulatory friction; plating expertise is the hardest hire</w:t>
            </w:r>
          </w:p>
        </w:tc>
        <w:tc>
          <w:tcPr>
            <w:tcW w:type="dxa" w:w="3515"/>
            <w:shd w:val="clear" w:color="auto" w:fill="F2F5FA"/>
          </w:tcPr>
          <w:p>
            <w:pPr>
              <w:spacing w:after="20" w:before="20"/>
            </w:pPr>
            <w:r/>
            <w:r>
              <w:rPr>
                <w:sz w:val="16"/>
              </w:rPr>
              <w:t>Zero-discharge design from the start; industrial estate option; recruit or train abroad; keep out of the phase 1 licence unless brought forward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equipment, THB costs, USD/EUR revenue; 10% moves are worth tens of thousands on the press order and 0.09 to 0.17 USD per record on margin</w:t>
            </w:r>
          </w:p>
        </w:tc>
        <w:tc>
          <w:tcPr>
            <w:tcW w:type="dxa" w:w="3515"/>
          </w:tcPr>
          <w:p>
            <w:pPr>
              <w:spacing w:after="20" w:before="20"/>
            </w:pPr>
            <w:r/>
            <w:r>
              <w:rPr>
                <w:sz w:val="16"/>
              </w:rPr>
              <w:t>State currency and validity in quotes; consider THB pricing regionally; hedge the press order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phase behind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will be worse than the 5 to 10% allowance while the process settles</w:t>
            </w:r>
          </w:p>
        </w:tc>
        <w:tc>
          <w:tcPr>
            <w:tcW w:type="dxa" w:w="3515"/>
          </w:tcPr>
          <w:p>
            <w:pPr>
              <w:spacing w:after="20" w:before="20"/>
            </w:pPr>
            <w:r/>
            <w:r>
              <w:rPr>
                <w:sz w:val="16"/>
              </w:rPr>
              <w:t>Vendor commissioning, materials lab from day one, QC layers, conservative launch promises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 and dates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incumbent is a competitor, so every collaboration scenario assumes they would buy a critical input from a new entrant, which they may decline to do.</w:t>
      </w:r>
    </w:p>
    <w:p>
      <w:pPr>
        <w:pStyle w:val="Heading1"/>
      </w:pPr>
      <w:r>
        <w:t>14. Next steps and the ask</w:t>
      </w:r>
    </w:p>
    <w:p>
      <w:pPr>
        <w:pStyle w:val="Heading2"/>
      </w:pPr>
      <w:r>
        <w:t>14.1 Phase 0: the next three to six months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Making Vinyl (Haarlem) and regional label conversations; test the 3.50 to 4.60 USD blended price, run sizes, and whether 7 weeks instead of 14 plus freight is worth a premium</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confirm the activity sub-code; put the order-before-certificate question first; add cassette and CD-R; decide CD replication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with the Mueang Chi lessor (term, renewal, building ownership, assignment), zoning verification,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candidate parcel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with build time, order-book position, PLC data access, currency and validity; same questions to Pheenix Alpha for the AD12 and AD12 Manual</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Schedule, price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Stamper Discs quote and written turnaround terms; line-itemised full-service invoice from the incumbent; Digital Matrix galvanics quote and a Thai water-treatment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decision</w:t>
            </w:r>
          </w:p>
        </w:tc>
      </w:tr>
      <w:tr>
        <w:trPr>
          <w:cantSplit/>
        </w:trPr>
        <w:tc>
          <w:tcPr>
            <w:tcW w:type="dxa" w:w="454"/>
          </w:tcPr>
          <w:p>
            <w:pPr>
              <w:spacing w:after="20" w:before="20"/>
            </w:pPr>
            <w:r/>
            <w:r>
              <w:rPr>
                <w:sz w:val="16"/>
              </w:rPr>
              <w:t>7</w:t>
            </w:r>
          </w:p>
        </w:tc>
        <w:tc>
          <w:tcPr>
            <w:tcW w:type="dxa" w:w="4762"/>
          </w:tcPr>
          <w:p>
            <w:pPr>
              <w:spacing w:after="20" w:before="20"/>
            </w:pPr>
            <w:r/>
            <w:r>
              <w:rPr>
                <w:sz w:val="16"/>
              </w:rPr>
              <w:t>Send the construction price request to two or three Thai PEB contractors</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Thai utility RFQs: boiler, chiller, compressed air, HVAC (35% vs 45% humidity floor), solar EPC; Deye and Gobel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w:t>
            </w:r>
          </w:p>
        </w:tc>
      </w:tr>
      <w:tr>
        <w:trPr>
          <w:cantSplit/>
        </w:trPr>
        <w:tc>
          <w:tcPr>
            <w:tcW w:type="dxa" w:w="454"/>
          </w:tcPr>
          <w:p>
            <w:pPr>
              <w:spacing w:after="20" w:before="20"/>
            </w:pPr>
            <w:r/>
            <w:r>
              <w:rPr>
                <w:sz w:val="16"/>
              </w:rPr>
              <w:t>9</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60 rai title check for the coppice plan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Small</w:t>
            </w:r>
          </w:p>
        </w:tc>
        <w:tc>
          <w:tcPr>
            <w:tcW w:type="dxa" w:w="1587"/>
            <w:shd w:val="clear" w:color="auto" w:fill="F2F5FA"/>
          </w:tcPr>
          <w:p>
            <w:pPr>
              <w:spacing w:after="20" w:before="20"/>
            </w:pPr>
            <w:r/>
            <w:r>
              <w:rPr>
                <w:sz w:val="16"/>
              </w:rPr>
              <w:t>Biomass path</w:t>
            </w:r>
          </w:p>
        </w:tc>
      </w:tr>
      <w:tr>
        <w:trPr>
          <w:cantSplit/>
        </w:trPr>
        <w:tc>
          <w:tcPr>
            <w:tcW w:type="dxa" w:w="454"/>
          </w:tcPr>
          <w:p>
            <w:pPr>
              <w:spacing w:after="20" w:before="20"/>
            </w:pPr>
            <w:r/>
            <w:r>
              <w:rPr>
                <w:sz w:val="16"/>
              </w:rPr>
              <w:t>11</w:t>
            </w:r>
          </w:p>
        </w:tc>
        <w:tc>
          <w:tcPr>
            <w:tcW w:type="dxa" w:w="4762"/>
          </w:tcPr>
          <w:p>
            <w:pPr>
              <w:spacing w:after="20" w:before="20"/>
            </w:pPr>
            <w:r/>
            <w:r>
              <w:rPr>
                <w:sz w:val="16"/>
              </w:rPr>
              <w:t>Optional: vinyl manufacturing consultancy engagement for layout and installation review</w:t>
            </w:r>
          </w:p>
        </w:tc>
        <w:tc>
          <w:tcPr>
            <w:tcW w:type="dxa" w:w="1474"/>
          </w:tcPr>
          <w:p>
            <w:pPr>
              <w:spacing w:after="20" w:before="20"/>
            </w:pPr>
            <w:r/>
            <w:r>
              <w:rPr>
                <w:sz w:val="16"/>
              </w:rPr>
              <w:t>Alexander</w:t>
            </w:r>
          </w:p>
        </w:tc>
        <w:tc>
          <w:tcPr>
            <w:tcW w:type="dxa" w:w="1361"/>
          </w:tcPr>
          <w:p>
            <w:pPr>
              <w:spacing w:after="20" w:before="20"/>
            </w:pPr>
            <w:r/>
            <w:r>
              <w:rPr>
                <w:sz w:val="16"/>
              </w:rPr>
              <w:t>GBP 10k to 20k</w:t>
            </w:r>
          </w:p>
        </w:tc>
        <w:tc>
          <w:tcPr>
            <w:tcW w:type="dxa" w:w="1587"/>
          </w:tcPr>
          <w:p>
            <w:pPr>
              <w:spacing w:after="20" w:before="20"/>
            </w:pPr>
            <w:r/>
            <w:r>
              <w:rPr>
                <w:sz w:val="16"/>
              </w:rPr>
              <w:t>Layout risk</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Archive the Thai invoices and tour notes with this plan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None</w:t>
            </w:r>
          </w:p>
        </w:tc>
        <w:tc>
          <w:tcPr>
            <w:tcW w:type="dxa" w:w="1587"/>
            <w:shd w:val="clear" w:color="auto" w:fill="F2F5FA"/>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ook w:firstColumn="1" w:firstRow="1" w:lastColumn="0" w:lastRow="0" w:noHBand="0" w:noVBand="1" w:val="04A0"/>
      </w:tblPr>
      <w:tblGrid>
        <w:gridCol w:w="4819"/>
        <w:gridCol w:w="4819"/>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and a decision on CD scope (section 4.9) before the BOI application is finalised.</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Commitment in principle to phase 1 at ~USD 2.2M to 3.9M, released in the tranches of section 8.3, with the financing mix set to hold debt-to-equity at or below 3:1.</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Whether galvanics moves into phase 1 (section 11), once the phase 0 quotes are in; the shareholder structure with Ploy Printing and the founders; hedging of the press order.</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Revenue-gated expansion to the full vision (~USD 4.4M to 8.0M in total) as the launch plant proves the market: Duplex, galvanics, automatic presses, full metrology, mastering room, biomass, and the phase 2 building.</w:t>
            </w:r>
          </w:p>
        </w:tc>
      </w:tr>
    </w:tbl>
    <w:p>
      <w:pPr>
        <w:spacing w:after="40"/>
      </w:pPr>
    </w:p>
    <w:p>
      <w:r>
        <w:rPr/>
        <w:t>The next version of this plan should carry: firm re-quotes in place of the expired and estimated blocks, the negotiated lease figure, a second market data point, the investor's CD decision, a year-by-year cash model for the ramp, and the shareholder terms. Each of those is a phase 0 output.</w:t>
      </w:r>
    </w:p>
    <w:p>
      <w:pPr>
        <w:pStyle w:val="Heading1"/>
      </w:pPr>
      <w:r>
        <w:t>15. Appendix: sources and planning documents</w:t>
      </w:r>
    </w:p>
    <w:p>
      <w:r>
        <w:rPr/>
        <w:t>This plan is compiled from the project's planning repository (cnx_vinyl, GitLab), which is the source of truth and holds the detail behind every section:</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three current gates through launch and expansion</w:t>
            </w:r>
          </w:p>
        </w:tc>
      </w:tr>
      <w:tr>
        <w:trPr>
          <w:cantSplit/>
        </w:trPr>
        <w:tc>
          <w:tcPr>
            <w:tcW w:type="dxa" w:w="3515"/>
            <w:shd w:val="clear" w:color="auto" w:fill="F2F5FA"/>
          </w:tcPr>
          <w:p>
            <w:pPr>
              <w:spacing w:after="20" w:before="20"/>
            </w:pPr>
            <w:r/>
            <w:r>
              <w:rPr>
                <w:sz w:val="17"/>
              </w:rPr>
              <w:t>scale.md</w:t>
            </w:r>
          </w:p>
        </w:tc>
        <w:tc>
          <w:tcPr>
            <w:tcW w:type="dxa" w:w="6123"/>
            <w:shd w:val="clear" w:color="auto" w:fill="F2F5FA"/>
          </w:tcPr>
          <w:p>
            <w:pPr>
              <w:spacing w:after="20" w:before="20"/>
            </w:pPr>
            <w:r/>
            <w:r>
              <w:rPr>
                <w:sz w:val="17"/>
              </w:rPr>
              <w:t>Project sizing on one page: capacity, building, land, electrical, solar, steam, people</w:t>
            </w:r>
          </w:p>
        </w:tc>
      </w:tr>
      <w:tr>
        <w:trPr>
          <w:cantSplit/>
        </w:trPr>
        <w:tc>
          <w:tcPr>
            <w:tcW w:type="dxa" w:w="3515"/>
          </w:tcPr>
          <w:p>
            <w:pPr>
              <w:spacing w:after="20" w:before="20"/>
            </w:pPr>
            <w:r/>
            <w:r>
              <w:rPr>
                <w:sz w:val="17"/>
              </w:rPr>
              <w:t>finance/total-investment.md</w:t>
            </w:r>
          </w:p>
        </w:tc>
        <w:tc>
          <w:tcPr>
            <w:tcW w:type="dxa" w:w="6123"/>
          </w:tcPr>
          <w:p>
            <w:pPr>
              <w:spacing w:after="20" w:before="20"/>
            </w:pPr>
            <w:r/>
            <w:r>
              <w:rPr>
                <w:sz w:val="17"/>
              </w:rPr>
              <w:t>Full-vision and phased-entry capital roll-up with the basis of every block</w:t>
            </w:r>
          </w:p>
        </w:tc>
      </w:tr>
      <w:tr>
        <w:trPr>
          <w:cantSplit/>
        </w:trPr>
        <w:tc>
          <w:tcPr>
            <w:tcW w:type="dxa" w:w="3515"/>
            <w:shd w:val="clear" w:color="auto" w:fill="F2F5FA"/>
          </w:tcPr>
          <w:p>
            <w:pPr>
              <w:spacing w:after="20" w:before="20"/>
            </w:pPr>
            <w:r/>
            <w:r>
              <w:rPr>
                <w:sz w:val="17"/>
              </w:rPr>
              <w:t>finance/revenue-model.md</w:t>
            </w:r>
          </w:p>
        </w:tc>
        <w:tc>
          <w:tcPr>
            <w:tcW w:type="dxa" w:w="6123"/>
            <w:shd w:val="clear" w:color="auto" w:fill="F2F5FA"/>
          </w:tcPr>
          <w:p>
            <w:pPr>
              <w:spacing w:after="20" w:before="20"/>
            </w:pPr>
            <w:r/>
            <w:r>
              <w:rPr>
                <w:sz w:val="17"/>
              </w:rPr>
              <w:t>Pricing, direct cost, margin, operating scenarios, and the August 2026 Thai market data and factory tour</w:t>
            </w:r>
          </w:p>
        </w:tc>
      </w:tr>
      <w:tr>
        <w:trPr>
          <w:cantSplit/>
        </w:trPr>
        <w:tc>
          <w:tcPr>
            <w:tcW w:type="dxa" w:w="3515"/>
          </w:tcPr>
          <w:p>
            <w:pPr>
              <w:spacing w:after="20" w:before="20"/>
            </w:pPr>
            <w:r/>
            <w:r>
              <w:rPr>
                <w:sz w:val="17"/>
              </w:rPr>
              <w:t>finance/utilities-investment.csv</w:t>
            </w:r>
          </w:p>
        </w:tc>
        <w:tc>
          <w:tcPr>
            <w:tcW w:type="dxa" w:w="6123"/>
          </w:tcPr>
          <w:p>
            <w:pPr>
              <w:spacing w:after="20" w:before="20"/>
            </w:pPr>
            <w:r/>
            <w:r>
              <w:rPr>
                <w:sz w:val="17"/>
              </w:rPr>
              <w:t>Thai supplier candidates and budgetary ranges for steam, cooling, air, water, HVAC, solar and battery</w:t>
            </w:r>
          </w:p>
        </w:tc>
      </w:tr>
      <w:tr>
        <w:trPr>
          <w:cantSplit/>
        </w:trPr>
        <w:tc>
          <w:tcPr>
            <w:tcW w:type="dxa" w:w="3515"/>
            <w:shd w:val="clear" w:color="auto" w:fill="F2F5FA"/>
          </w:tcPr>
          <w:p>
            <w:pPr>
              <w:spacing w:after="20" w:before="20"/>
            </w:pPr>
            <w:r/>
            <w:r>
              <w:rPr>
                <w:sz w:val="17"/>
              </w:rPr>
              <w:t>finance/phase1-construction-rfq.md</w:t>
            </w:r>
          </w:p>
        </w:tc>
        <w:tc>
          <w:tcPr>
            <w:tcW w:type="dxa" w:w="6123"/>
            <w:shd w:val="clear" w:color="auto" w:fill="F2F5FA"/>
          </w:tcPr>
          <w:p>
            <w:pPr>
              <w:spacing w:after="20" w:before="20"/>
            </w:pPr>
            <w:r/>
            <w:r>
              <w:rPr>
                <w:sz w:val="17"/>
              </w:rPr>
              <w:t>Contractor price request with quantities from the parametric model</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Newbilt budgetary offer, site requirements, process schematic, service rates</w:t>
            </w:r>
          </w:p>
        </w:tc>
      </w:tr>
      <w:tr>
        <w:trPr>
          <w:cantSplit/>
        </w:trPr>
        <w:tc>
          <w:tcPr>
            <w:tcW w:type="dxa" w:w="3515"/>
            <w:shd w:val="clear" w:color="auto" w:fill="F2F5FA"/>
          </w:tcPr>
          <w:p>
            <w:pPr>
              <w:spacing w:after="20" w:before="20"/>
            </w:pPr>
            <w:r/>
            <w:r>
              <w:rPr>
                <w:sz w:val="17"/>
              </w:rPr>
              <w:t>suppliers/vendor-landscape.md and equipment-suppliers.md</w:t>
            </w:r>
          </w:p>
        </w:tc>
        <w:tc>
          <w:tcPr>
            <w:tcW w:type="dxa" w:w="6123"/>
            <w:shd w:val="clear" w:color="auto" w:fill="F2F5FA"/>
          </w:tcPr>
          <w:p>
            <w:pPr>
              <w:spacing w:after="20" w:before="20"/>
            </w:pPr>
            <w:r/>
            <w:r>
              <w:rPr>
                <w:sz w:val="17"/>
              </w:rPr>
              <w:t>Per-vendor narrative and the full needs list with contacts</w:t>
            </w:r>
          </w:p>
        </w:tc>
      </w:tr>
      <w:tr>
        <w:trPr>
          <w:cantSplit/>
        </w:trPr>
        <w:tc>
          <w:tcPr>
            <w:tcW w:type="dxa" w:w="3515"/>
          </w:tcPr>
          <w:p>
            <w:pPr>
              <w:spacing w:after="20" w:before="20"/>
            </w:pPr>
            <w:r/>
            <w:r>
              <w:rPr>
                <w:sz w:val="17"/>
              </w:rPr>
              <w:t>process-flow.md, production-timeline.md, project-timeline.md</w:t>
            </w:r>
          </w:p>
        </w:tc>
        <w:tc>
          <w:tcPr>
            <w:tcW w:type="dxa" w:w="6123"/>
          </w:tcPr>
          <w:p>
            <w:pPr>
              <w:spacing w:after="20" w:before="20"/>
            </w:pPr>
            <w:r/>
            <w:r>
              <w:rPr>
                <w:sz w:val="17"/>
              </w:rPr>
              <w:t>The chain and its checks; order turnaround stage by stage; the calendar and critical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 packaging QC</w:t>
            </w:r>
          </w:p>
        </w:tc>
      </w:tr>
      <w:tr>
        <w:trPr>
          <w:cantSplit/>
        </w:trPr>
        <w:tc>
          <w:tcPr>
            <w:tcW w:type="dxa" w:w="3515"/>
          </w:tcPr>
          <w:p>
            <w:pPr>
              <w:spacing w:after="20" w:before="20"/>
            </w:pPr>
            <w:r/>
            <w:r>
              <w:rPr>
                <w:sz w:val="17"/>
              </w:rPr>
              <w:t>sustainability.md, biomass.md</w:t>
            </w:r>
          </w:p>
        </w:tc>
        <w:tc>
          <w:tcPr>
            <w:tcW w:type="dxa" w:w="6123"/>
          </w:tcPr>
          <w:p>
            <w:pPr>
              <w:spacing w:after="20" w:before="20"/>
            </w:pPr>
            <w:r/>
            <w:r>
              <w:rPr>
                <w:sz w:val="17"/>
              </w:rPr>
              <w:t>Solar, heat recovery, water, zero discharge, materials; the biomass fuel strategy and the 60 rai coppice</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compliance anchors; safety program</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and renders/</w:t>
            </w:r>
          </w:p>
        </w:tc>
        <w:tc>
          <w:tcPr>
            <w:tcW w:type="dxa" w:w="6123"/>
            <w:shd w:val="clear" w:color="auto" w:fill="F2F5FA"/>
          </w:tcPr>
          <w:p>
            <w:pPr>
              <w:spacing w:after="20" w:before="20"/>
            </w:pPr>
            <w:r/>
            <w:r>
              <w:rPr>
                <w:sz w:val="17"/>
              </w:rPr>
              <w:t>The parametric building and site model on the candidate parcel, and its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0.1,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