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0.2, October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Draft 0.2 replaces draft 0.1 (September 2026): the plant now launches with the whole chain, cutting and galvanics included, in one capital round.</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draft 0.1.</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Every section below is written for that plant.</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Together about 0.71 to 0.97 million records a year on two shifts (estimate). A second Duplex system is a growth option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and two 250 kW chiller modules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plant ~0.71M to 0.97M records/yr (2 semi-automatic presses + 1 Classic, 2 shifts; estimate; the press fleet calculator gives ~0.94M at our planning rates). Second Duplex as growth option: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launch plant</w:t>
            </w:r>
          </w:p>
        </w:tc>
        <w:tc>
          <w:tcPr>
            <w:tcW w:type="dxa" w:w="6520"/>
          </w:tcPr>
          <w:p>
            <w:pPr>
              <w:spacing w:after="20" w:before="20"/>
            </w:pPr>
            <w:r/>
            <w:r>
              <w:rPr>
                <w:sz w:val="19"/>
              </w:rPr>
              <w:t>~USD 4.9M to 8.9M (~THB 161M to 292M) including 15% contingency, midpoint ~USD 6.9M (~THB 227M). Not in it: a ramp-up reserve of ~THB 10M to 20M, CD replication, financing costs, the central hydraulic plant (not yet costed)</w:t>
            </w:r>
          </w:p>
        </w:tc>
      </w:tr>
      <w:tr>
        <w:trPr>
          <w:cantSplit/>
        </w:trPr>
        <w:tc>
          <w:tcPr>
            <w:tcW w:type="dxa" w:w="2835"/>
            <w:shd w:val="clear" w:color="auto" w:fill="F2F5FA"/>
          </w:tcPr>
          <w:p>
            <w:pPr>
              <w:spacing w:after="20" w:before="20"/>
            </w:pPr>
            <w:r>
              <w:rPr>
                <w:b/>
              </w:rPr>
            </w:r>
            <w:r>
              <w:rPr>
                <w:b/>
                <w:sz w:val="19"/>
              </w:rPr>
              <w:t>The investor's 180M THB question</w:t>
            </w:r>
          </w:p>
        </w:tc>
        <w:tc>
          <w:tcPr>
            <w:tcW w:type="dxa" w:w="6520"/>
          </w:tcPr>
          <w:p>
            <w:pPr>
              <w:spacing w:after="20" w:before="20"/>
            </w:pPr>
            <w:r/>
            <w:r>
              <w:rPr>
                <w:b/>
                <w:sz w:val="19"/>
              </w:rPr>
              <w:t>216M THB is a realistic target</w:t>
            </w:r>
            <w:r>
              <w:rPr>
                <w:sz w:val="19"/>
              </w:rPr>
              <w:t xml:space="preserve"> for the full equipment list with four levers that keep every machine (~203M to 213M with the ramp-up reserve); </w:t>
            </w:r>
            <w:r>
              <w:rPr>
                <w:b/>
                <w:sz w:val="19"/>
              </w:rPr>
              <w:t>180M holds only if the open quotes land low</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revenue ~USD 3.75M (~THB 124M), EBITDA ~USD 1.63M (~THB 54M), operating profit ~USD 1.11M (~THB 37M), payback ~4 years (3.0 to 5.5 on the 4.9M to 8.9M band); break-even on operating profit at ~0.3M records a year. </w:t>
            </w:r>
            <w:r>
              <w:rPr>
                <w:b/>
                <w:sz w:val="19"/>
              </w:rPr>
              <w:t>The adverse case loses money:</w:t>
            </w:r>
            <w:r>
              <w:rPr>
                <w:sz w:val="19"/>
              </w:rPr>
              <w:t xml:space="preserve"> EBITDA ~USD 0.22M, operating loss ~USD 0.67M (~THB 22M). Utilisation and price decide the outcome, not upside (section 9)</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bl>
    <w:p>
      <w:pPr>
        <w:spacing w:after="40"/>
      </w:pP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and the Classic, a Pheenix quote for the galvanics line, the building price request with the soil test, and metrology distributor quotes.</w:t>
            </w:r>
          </w:p>
          <w:p>
            <w:pPr>
              <w:spacing w:after="60"/>
              <w:ind w:left="227"/>
            </w:pPr>
            <w:r>
              <w:rPr>
                <w:sz w:val="20"/>
              </w:rPr>
              <w:t xml:space="preserve">•  </w:t>
            </w:r>
            <w:r>
              <w:rPr>
                <w:b/>
                <w:sz w:val="20"/>
              </w:rPr>
              <w:t>Then the launch plant round, targeted at ~THB 216M (~USD 6.55M)</w:t>
            </w:r>
            <w:r>
              <w:rPr>
                <w:sz w:val="20"/>
              </w:rPr>
              <w:t>, released in tranches against milestones: BOI certificate and lease signed, long-lead orders (lathe, galvanics, stamper prep, presses, first boiler and chiller modules), building contract, fit-out, commissioning in sequence (section 8.3). The full estimate band is THB 161M to 292M; section 8.2 shows the levers that bring the midpoint inside 216M.</w:t>
            </w:r>
          </w:p>
          <w:p>
            <w:pPr>
              <w:spacing w:after="60"/>
              <w:ind w:left="227"/>
            </w:pPr>
            <w:r>
              <w:rPr>
                <w:sz w:val="20"/>
              </w:rPr>
              <w:t xml:space="preserve">•  </w:t>
            </w:r>
            <w:r>
              <w:rPr>
                <w:b/>
                <w:sz w:val="20"/>
              </w:rPr>
              <w:t>Decisions needed from the investor:</w:t>
            </w:r>
            <w:r>
              <w:rPr>
                <w:sz w:val="20"/>
              </w:rPr>
              <w:t xml:space="preserve"> the equity/debt mix (BOI requires debt-to-equity of at most 3:1); CD replication, yes or no (it must be in the BOI application from the start); the steam fuel, electric or biomass; and which budget levers to take (solar through a PPA, metrology bought in two steps, the visitor corridor later).</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3.50 to 4.60 blended (115 to 150 THB).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the launch plant.</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Launch plant (confocal and profiler can follow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271 kWh battery, closed cooling loop, zero process discharge</w:t>
            </w:r>
          </w:p>
        </w:tc>
        <w:tc>
          <w:tcPr>
            <w:tcW w:type="dxa" w:w="1701"/>
          </w:tcPr>
          <w:p>
            <w:pPr>
              <w:spacing w:after="20" w:before="20"/>
            </w:pPr>
            <w:r/>
            <w:r>
              <w:rPr>
                <w:sz w:val="17"/>
              </w:rPr>
              <w:t>Launch plant (PV possibly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Launch plant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Estimated USD 320k to 650k (THB 10.6M to 21.4M) for the Pheenix line, with no Pheenix price on file; OMS's reference prices sit at the low end, and pricing near them is one of the four budget levers.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and two 250 kW chiller modules</w:t>
      </w:r>
      <w:r>
        <w:rPr/>
        <w:t>, in a boiler hall and an open chiller compound built for four modules each; a second Duplex adds a third chiller module, and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~0.71 to 0.97 million records</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Expansion option</w:t>
            </w:r>
          </w:p>
        </w:tc>
        <w:tc>
          <w:tcPr>
            <w:tcW w:type="dxa" w:w="4535"/>
          </w:tcPr>
          <w:p>
            <w:pPr>
              <w:spacing w:after="20" w:before="20"/>
            </w:pPr>
            <w:r/>
            <w:r>
              <w:rPr>
                <w:sz w:val="18"/>
              </w:rPr>
              <w:t>The five-press fleet plus up to ten more Classics; a utility phase of its own</w:t>
            </w:r>
          </w:p>
        </w:tc>
        <w:tc>
          <w:tcPr>
            <w:tcW w:type="dxa" w:w="2835"/>
          </w:tcPr>
          <w:p>
            <w:pPr>
              <w:spacing w:after="20" w:before="20"/>
            </w:pPr>
            <w:r/>
            <w:r>
              <w:rPr>
                <w:sz w:val="18"/>
              </w:rPr>
              <w:t>~4.7 to 5.8 million records (estimate)</w:t>
            </w:r>
          </w:p>
        </w:tc>
      </w:tr>
    </w:tbl>
    <w:p>
      <w:pPr>
        <w:spacing w:before="40" w:after="160"/>
      </w:pPr>
      <w:r>
        <w:rPr>
          <w:i/>
          <w:color w:val="595959"/>
          <w:sz w:val="17"/>
        </w:rPr>
        <w:t>Basis: semi-automatic 60 to 80 records/h assumed; Classic ~128/h (vendor flyer); 16 h/day, 300 days/yr, 60 to 70% overall equipment effectiveness. The launch plant is 248 to 288 records/h at nameplate, ~149 to 202/h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the launch plant, starting at tier A or a small tier B; cassette and CD-R together are one estimated block of USD 55k to 190k in the investment; schedule-neutral; fits inside the building programme; the activity goes into the BOI application. Moving both later is one of the scope cuts that would be needed to approach 180M THB.</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Option A is in the launch plant: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second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launch plant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Launch tier</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Launch tier</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Full stack; from revenue if the lever is used</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Full stack; from revenue if the lever is used</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the investor's choice</w:t>
            </w:r>
          </w:p>
          <w:p>
            <w:pPr>
              <w:spacing w:after="60"/>
              <w:ind w:left="227"/>
            </w:pPr>
            <w:r>
              <w:rPr>
                <w:sz w:val="20"/>
              </w:rPr>
              <w:t xml:space="preserve">•  </w:t>
            </w:r>
            <w:r>
              <w:rPr>
                <w:b/>
                <w:sz w:val="20"/>
              </w:rPr>
              <w:t>Full stack at launch.</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w:t>
            </w:r>
          </w:p>
          <w:p>
            <w:pPr>
              <w:spacing w:after="60"/>
              <w:ind w:left="227"/>
            </w:pPr>
            <w:r>
              <w:rPr>
                <w:sz w:val="20"/>
              </w:rPr>
              <w:t xml:space="preserve">•  </w:t>
            </w:r>
            <w:r>
              <w:rPr>
                <w:b/>
                <w:sz w:val="20"/>
              </w:rPr>
              <w:t>Launch tier.</w:t>
            </w:r>
            <w:r>
              <w:rPr>
                <w:sz w:val="20"/>
              </w:rPr>
              <w:t xml:space="preserve"> XRF, inline vision and the audio station at launch; the laser confocal and the wide-area profiler bought from revenue. That saves ~10.1M THB at the midpoint with its share of the contingency, one of the four levers that bring the plant inside 216M THB. Until they arrive, groove geometry on the metal is judged indirectly, through the test pressing and the audio station, as most plants do today; thickness and cosmetics are still measured on every part.</w:t>
            </w:r>
          </w:p>
          <w:p>
            <w:pPr>
              <w:spacing w:after="60"/>
              <w:ind w:left="227"/>
            </w:pPr>
            <w:r>
              <w:rPr>
                <w:sz w:val="20"/>
              </w:rPr>
              <w:t>•  Either way the data path is the same,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about 390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and two 250 kW air-cooled chillers rated at 40 °C ambient (CH-1, CH-2), sequenced lead and lag by one controller.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Solar PPA (option)</w:t>
            </w:r>
          </w:p>
        </w:tc>
        <w:tc>
          <w:tcPr>
            <w:tcW w:type="dxa" w:w="6520"/>
          </w:tcPr>
          <w:p>
            <w:pPr>
              <w:spacing w:after="20" w:before="20"/>
            </w:pPr>
            <w:r/>
            <w:r>
              <w:rPr>
                <w:sz w:val="19"/>
              </w:rPr>
              <w:t>Instead of buying the PV and battery, an EPC owns and finances them and the plant buys the power: ~12.3M THB less capital at the midpoint with its contingency share, one of the four levers in section 8. The PPA price is not quoted yet, and the BOI solar measure (section 7) rewards the plant's own solar investment, so its tax value probably goes with the array (to confirm with the BOI consultant)</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launch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investment's baseline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Chinese makers with Thai references (ZOZEN, Sitong, Fangkuai, Taiguo) could supply the two modules for roughly 2.8M to 5.5M THB installed against 4.5M to 7M from Thai suppliers, about 1.6M THB less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launch plant,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ten more Classics.</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with the 5 t crane runway over the production compartment up to the warehouse fire wall. It still draws two Classic positions (the launch plant installs one) and puts reception and the cutting room under the crane's travel, a conflict the Payap scenario model resolves with a separate office building. All positions are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4.9). Where the second Duplex system stands on the Mueang Chi footprint is not drawn yet; the Payap scenario model draws the whole five-press fleet with room for ten more Classics.</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 (launch plant)</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is a lever worth ~4.1M THB</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before the 15%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stays crane-ready would save ~3.7M THB, but that is a scope cut toward the 180M THB case,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which matters if the solar PPA lever is used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~161M to 292M THB the launch plant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now in the launch plant,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matching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A Chinese boiler built to the Chinese GB code would rest on 'or equivalent' with no precedent found, hence the ASME specification.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of the launch plant decided in October 2026: one capital round for the whole chain, from the cutting room to the shrink wrapper, commissioned in sequence.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by the launch plant below and are not repeated here; the planning repository keeps them for the record.</w:t>
      </w:r>
    </w:p>
    <w:p>
      <w:pPr>
        <w:pStyle w:val="Heading2"/>
      </w:pPr>
      <w:r>
        <w:t>8.1 The launch plant,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320k to 650k</w:t>
            </w:r>
          </w:p>
        </w:tc>
        <w:tc>
          <w:tcPr>
            <w:tcW w:type="dxa" w:w="1701"/>
            <w:shd w:val="clear" w:color="auto" w:fill="F2F5FA"/>
          </w:tcPr>
          <w:p>
            <w:pPr>
              <w:spacing w:after="20" w:before="20"/>
            </w:pPr>
            <w:r/>
            <w:r>
              <w:rPr>
                <w:sz w:val="17"/>
              </w:rPr>
              <w:t>10.6M to 21.4M</w:t>
            </w:r>
          </w:p>
        </w:tc>
        <w:tc>
          <w:tcPr>
            <w:tcW w:type="dxa" w:w="3288"/>
            <w:shd w:val="clear" w:color="auto" w:fill="F2F5FA"/>
          </w:tcPr>
          <w:p>
            <w:pPr>
              <w:spacing w:after="20" w:before="20"/>
            </w:pPr>
            <w:r/>
            <w:r>
              <w:rPr>
                <w:sz w:val="17"/>
              </w:rPr>
              <w:t xml:space="preserve">Estimate; </w:t>
            </w:r>
            <w:r>
              <w:rPr>
                <w:b/>
                <w:sz w:val="17"/>
              </w:rPr>
              <w:t>no Pheenix price on file</w:t>
            </w:r>
            <w:r>
              <w:rPr>
                <w:sz w:val="17"/>
              </w:rPr>
              <w:t>; OMS's reference prices for a 4-cell wet room (EUR 224k to 311k, ~USD 259k to 359k) sit at the low end</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now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stack (XRF, laser confocal, wide-area profiler, inline vision on three presses,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Utilities, solar, battery, HVAC, clean zones, racking</w:t>
            </w:r>
          </w:p>
        </w:tc>
        <w:tc>
          <w:tcPr>
            <w:tcW w:type="dxa" w:w="1701"/>
          </w:tcPr>
          <w:p>
            <w:pPr>
              <w:spacing w:after="20" w:before="20"/>
            </w:pPr>
            <w:r/>
            <w:r>
              <w:rPr>
                <w:sz w:val="17"/>
              </w:rPr>
              <w:t>863k to 1,477k</w:t>
            </w:r>
          </w:p>
        </w:tc>
        <w:tc>
          <w:tcPr>
            <w:tcW w:type="dxa" w:w="1701"/>
          </w:tcPr>
          <w:p>
            <w:pPr>
              <w:spacing w:after="20" w:before="20"/>
            </w:pPr>
            <w:r/>
            <w:r>
              <w:rPr>
                <w:sz w:val="17"/>
              </w:rPr>
              <w:t>28.5M to 48.7M</w:t>
            </w:r>
          </w:p>
        </w:tc>
        <w:tc>
          <w:tcPr>
            <w:tcW w:type="dxa" w:w="3288"/>
          </w:tcPr>
          <w:p>
            <w:pPr>
              <w:spacing w:after="20" w:before="20"/>
            </w:pPr>
            <w:r/>
            <w:r>
              <w:rPr>
                <w:sz w:val="17"/>
              </w:rPr>
              <w:t>Researched: Thai supplier ranges, re-sized for three presses (two chiller modules instead of three)</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135k to 290k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sz w:val="17"/>
              </w:rPr>
              <w:t>Subtotal</w:t>
            </w:r>
          </w:p>
        </w:tc>
        <w:tc>
          <w:tcPr>
            <w:tcW w:type="dxa" w:w="1701"/>
          </w:tcPr>
          <w:p>
            <w:pPr>
              <w:spacing w:after="20" w:before="20"/>
            </w:pPr>
            <w:r/>
            <w:r>
              <w:rPr>
                <w:sz w:val="17"/>
              </w:rPr>
              <w:t>~4.24M to 7.71M</w:t>
            </w:r>
          </w:p>
        </w:tc>
        <w:tc>
          <w:tcPr>
            <w:tcW w:type="dxa" w:w="1701"/>
          </w:tcPr>
          <w:p>
            <w:pPr>
              <w:spacing w:after="20" w:before="20"/>
            </w:pPr>
            <w:r/>
            <w:r>
              <w:rPr>
                <w:sz w:val="17"/>
              </w:rPr>
              <w:t>~140M to 254M</w:t>
            </w:r>
          </w:p>
        </w:tc>
        <w:tc>
          <w:tcPr>
            <w:tcW w:type="dxa" w:w="3288"/>
          </w:tcPr>
          <w:p>
            <w:pPr>
              <w:spacing w:after="20" w:before="20"/>
            </w:pPr>
            <w:r/>
          </w:p>
        </w:tc>
      </w:tr>
      <w:tr>
        <w:trPr>
          <w:cantSplit/>
        </w:trPr>
        <w:tc>
          <w:tcPr>
            <w:tcW w:type="dxa" w:w="2948"/>
            <w:shd w:val="clear" w:color="auto" w:fill="F2F5FA"/>
          </w:tcPr>
          <w:p>
            <w:pPr>
              <w:spacing w:after="20" w:before="20"/>
            </w:pPr>
            <w:r/>
            <w:r>
              <w:rPr>
                <w:sz w:val="17"/>
              </w:rPr>
              <w:t>Contingency 15 %</w:t>
            </w:r>
          </w:p>
        </w:tc>
        <w:tc>
          <w:tcPr>
            <w:tcW w:type="dxa" w:w="1701"/>
            <w:shd w:val="clear" w:color="auto" w:fill="F2F5FA"/>
          </w:tcPr>
          <w:p>
            <w:pPr>
              <w:spacing w:after="20" w:before="20"/>
            </w:pPr>
            <w:r/>
            <w:r>
              <w:rPr>
                <w:sz w:val="17"/>
              </w:rPr>
              <w:t>~0.64M to 1.16M</w:t>
            </w:r>
          </w:p>
        </w:tc>
        <w:tc>
          <w:tcPr>
            <w:tcW w:type="dxa" w:w="1701"/>
            <w:shd w:val="clear" w:color="auto" w:fill="F2F5FA"/>
          </w:tcPr>
          <w:p>
            <w:pPr>
              <w:spacing w:after="20" w:before="20"/>
            </w:pPr>
            <w:r/>
            <w:r>
              <w:rPr>
                <w:sz w:val="17"/>
              </w:rPr>
              <w:t>~21M to 38M</w:t>
            </w:r>
          </w:p>
        </w:tc>
        <w:tc>
          <w:tcPr>
            <w:tcW w:type="dxa" w:w="3288"/>
            <w:shd w:val="clear" w:color="auto" w:fill="F2F5FA"/>
          </w:tcPr>
          <w:p>
            <w:pPr>
              <w:spacing w:after="20" w:before="20"/>
            </w:pPr>
            <w:r/>
          </w:p>
        </w:tc>
      </w:tr>
      <w:tr>
        <w:trPr>
          <w:cantSplit/>
        </w:trPr>
        <w:tc>
          <w:tcPr>
            <w:tcW w:type="dxa" w:w="2948"/>
          </w:tcPr>
          <w:p>
            <w:pPr>
              <w:spacing w:after="20" w:before="20"/>
            </w:pPr>
            <w:r/>
            <w:r>
              <w:rPr>
                <w:b/>
                <w:sz w:val="17"/>
              </w:rPr>
              <w:t>Total, launch plant</w:t>
            </w:r>
          </w:p>
        </w:tc>
        <w:tc>
          <w:tcPr>
            <w:tcW w:type="dxa" w:w="1701"/>
          </w:tcPr>
          <w:p>
            <w:pPr>
              <w:spacing w:after="20" w:before="20"/>
            </w:pPr>
            <w:r/>
            <w:r>
              <w:rPr>
                <w:b/>
                <w:sz w:val="17"/>
              </w:rPr>
              <w:t>~4.9M to 8.9M</w:t>
            </w:r>
          </w:p>
        </w:tc>
        <w:tc>
          <w:tcPr>
            <w:tcW w:type="dxa" w:w="1701"/>
          </w:tcPr>
          <w:p>
            <w:pPr>
              <w:spacing w:after="20" w:before="20"/>
            </w:pPr>
            <w:r/>
            <w:r>
              <w:rPr>
                <w:b/>
                <w:sz w:val="17"/>
              </w:rPr>
              <w:t>~161M to 292M</w:t>
            </w:r>
          </w:p>
        </w:tc>
        <w:tc>
          <w:tcPr>
            <w:tcW w:type="dxa" w:w="3288"/>
          </w:tcPr>
          <w:p>
            <w:pPr>
              <w:spacing w:after="20" w:before="20"/>
            </w:pPr>
            <w:r/>
            <w:r>
              <w:rPr>
                <w:b/>
                <w:sz w:val="17"/>
              </w:rPr>
              <w:t>Midpoint ~6.9M USD, ~227M THB</w:t>
            </w:r>
          </w:p>
        </w:tc>
      </w:tr>
    </w:tbl>
    <w:p>
      <w:pPr>
        <w:spacing w:before="40" w:after="160"/>
      </w:pPr>
      <w:r>
        <w:rPr>
          <w:i/>
          <w:color w:val="595959"/>
          <w:sz w:val="17"/>
        </w:rPr>
        <w:t>Source: docs/finance/total-investment.md, 'Launch plant (October 2026)'. The second Duplex system and further Classics are growth options with room reserved (hall floor, utility module positions, ring-main tees), not part of this total.</w:t>
      </w:r>
    </w:p>
    <w:p>
      <w:r>
        <w:rPr>
          <w:b/>
        </w:rPr>
        <w:t>Not in the total:</w:t>
      </w:r>
      <w:r>
        <w:rPr/>
        <w:t xml:space="preserve"> a reserve for the ramp-up (staff hired before first revenue, overheads until volume covers them), ~10M to 20M THB, estimate; CD replication (section 4.9);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comes on top, plus ~0.17M USD of import VAT paid at the border and reclaimed later (estimates).</w:t>
      </w:r>
    </w:p>
    <w:p>
      <w:pPr>
        <w:pStyle w:val="Heading2"/>
      </w:pPr>
      <w:r>
        <w:t>8.2 The investor's question: 180M THB, maybe 20 % more</w:t>
      </w:r>
    </w:p>
    <w:p>
      <w:r>
        <w:rPr/>
        <w:t xml:space="preserve">The lead investor asked in October 2026 whether the plant can be built for </w:t>
      </w:r>
      <w:r>
        <w:rPr>
          <w:b/>
        </w:rPr>
        <w:t>180M THB (~5.45M USD), possibly up to 20 % more (216M THB, ~6.55M USD)</w:t>
      </w:r>
      <w:r>
        <w:rPr/>
        <w:t>. Against the launch-plant total:</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Case</w:t>
            </w:r>
          </w:p>
        </w:tc>
        <w:tc>
          <w:tcPr>
            <w:tcW w:type="dxa" w:w="2268"/>
            <w:shd w:val="clear" w:color="auto" w:fill="1F3864"/>
          </w:tcPr>
          <w:p>
            <w:pPr>
              <w:spacing w:after="20" w:before="20"/>
            </w:pPr>
            <w:r>
              <w:rPr>
                <w:b/>
              </w:rPr>
            </w:r>
            <w:r>
              <w:rPr>
                <w:b/>
                <w:color w:val="FFFFFF"/>
                <w:sz w:val="18"/>
              </w:rPr>
              <w:t>Launch plant</w:t>
            </w:r>
          </w:p>
        </w:tc>
        <w:tc>
          <w:tcPr>
            <w:tcW w:type="dxa" w:w="2268"/>
            <w:shd w:val="clear" w:color="auto" w:fill="1F3864"/>
          </w:tcPr>
          <w:p>
            <w:pPr>
              <w:spacing w:after="20" w:before="20"/>
            </w:pPr>
            <w:r>
              <w:rPr>
                <w:b/>
              </w:rPr>
            </w:r>
            <w:r>
              <w:rPr>
                <w:b/>
                <w:color w:val="FFFFFF"/>
                <w:sz w:val="18"/>
              </w:rPr>
              <w:t>Against 180M</w:t>
            </w:r>
          </w:p>
        </w:tc>
        <w:tc>
          <w:tcPr>
            <w:tcW w:type="dxa" w:w="2268"/>
            <w:shd w:val="clear" w:color="auto" w:fill="1F3864"/>
          </w:tcPr>
          <w:p>
            <w:pPr>
              <w:spacing w:after="20" w:before="20"/>
            </w:pPr>
            <w:r>
              <w:rPr>
                <w:b/>
              </w:rPr>
            </w:r>
            <w:r>
              <w:rPr>
                <w:b/>
                <w:color w:val="FFFFFF"/>
                <w:sz w:val="18"/>
              </w:rPr>
              <w:t>Against 216M</w:t>
            </w:r>
          </w:p>
        </w:tc>
      </w:tr>
      <w:tr>
        <w:trPr>
          <w:cantSplit/>
        </w:trPr>
        <w:tc>
          <w:tcPr>
            <w:tcW w:type="dxa" w:w="2835"/>
          </w:tcPr>
          <w:p>
            <w:pPr>
              <w:spacing w:after="20" w:before="20"/>
            </w:pPr>
            <w:r/>
            <w:r>
              <w:rPr>
                <w:sz w:val="18"/>
              </w:rPr>
              <w:t>Low end of every block</w:t>
            </w:r>
          </w:p>
        </w:tc>
        <w:tc>
          <w:tcPr>
            <w:tcW w:type="dxa" w:w="2268"/>
          </w:tcPr>
          <w:p>
            <w:pPr>
              <w:spacing w:after="20" w:before="20"/>
            </w:pPr>
            <w:r/>
            <w:r>
              <w:rPr>
                <w:sz w:val="18"/>
              </w:rPr>
              <w:t>~161M THB</w:t>
            </w:r>
          </w:p>
        </w:tc>
        <w:tc>
          <w:tcPr>
            <w:tcW w:type="dxa" w:w="2268"/>
          </w:tcPr>
          <w:p>
            <w:pPr>
              <w:spacing w:after="20" w:before="20"/>
            </w:pPr>
            <w:r/>
            <w:r>
              <w:rPr>
                <w:sz w:val="18"/>
              </w:rPr>
              <w:t>Fits, ~19M to spare</w:t>
            </w:r>
          </w:p>
        </w:tc>
        <w:tc>
          <w:tcPr>
            <w:tcW w:type="dxa" w:w="2268"/>
          </w:tcPr>
          <w:p>
            <w:pPr>
              <w:spacing w:after="20" w:before="20"/>
            </w:pPr>
            <w:r/>
            <w:r>
              <w:rPr>
                <w:sz w:val="18"/>
              </w:rPr>
              <w:t>Fits</w:t>
            </w:r>
          </w:p>
        </w:tc>
      </w:tr>
      <w:tr>
        <w:trPr>
          <w:cantSplit/>
        </w:trPr>
        <w:tc>
          <w:tcPr>
            <w:tcW w:type="dxa" w:w="2835"/>
            <w:shd w:val="clear" w:color="auto" w:fill="F2F5FA"/>
          </w:tcPr>
          <w:p>
            <w:pPr>
              <w:spacing w:after="20" w:before="20"/>
            </w:pPr>
            <w:r/>
            <w:r>
              <w:rPr>
                <w:sz w:val="18"/>
              </w:rPr>
              <w:t>Midpoint</w:t>
            </w:r>
          </w:p>
        </w:tc>
        <w:tc>
          <w:tcPr>
            <w:tcW w:type="dxa" w:w="2268"/>
            <w:shd w:val="clear" w:color="auto" w:fill="F2F5FA"/>
          </w:tcPr>
          <w:p>
            <w:pPr>
              <w:spacing w:after="20" w:before="20"/>
            </w:pPr>
            <w:r/>
            <w:r>
              <w:rPr>
                <w:sz w:val="18"/>
              </w:rPr>
              <w:t>~227M THB</w:t>
            </w:r>
          </w:p>
        </w:tc>
        <w:tc>
          <w:tcPr>
            <w:tcW w:type="dxa" w:w="2268"/>
            <w:shd w:val="clear" w:color="auto" w:fill="F2F5FA"/>
          </w:tcPr>
          <w:p>
            <w:pPr>
              <w:spacing w:after="20" w:before="20"/>
            </w:pPr>
            <w:r/>
            <w:r>
              <w:rPr>
                <w:sz w:val="18"/>
              </w:rPr>
              <w:t>~47M over</w:t>
            </w:r>
          </w:p>
        </w:tc>
        <w:tc>
          <w:tcPr>
            <w:tcW w:type="dxa" w:w="2268"/>
            <w:shd w:val="clear" w:color="auto" w:fill="F2F5FA"/>
          </w:tcPr>
          <w:p>
            <w:pPr>
              <w:spacing w:after="20" w:before="20"/>
            </w:pPr>
            <w:r/>
            <w:r>
              <w:rPr>
                <w:sz w:val="18"/>
              </w:rPr>
              <w:t>~11M over</w:t>
            </w:r>
          </w:p>
        </w:tc>
      </w:tr>
      <w:tr>
        <w:trPr>
          <w:cantSplit/>
        </w:trPr>
        <w:tc>
          <w:tcPr>
            <w:tcW w:type="dxa" w:w="2835"/>
          </w:tcPr>
          <w:p>
            <w:pPr>
              <w:spacing w:after="20" w:before="20"/>
            </w:pPr>
            <w:r/>
            <w:r>
              <w:rPr>
                <w:sz w:val="18"/>
              </w:rPr>
              <w:t>High end of every block</w:t>
            </w:r>
          </w:p>
        </w:tc>
        <w:tc>
          <w:tcPr>
            <w:tcW w:type="dxa" w:w="2268"/>
          </w:tcPr>
          <w:p>
            <w:pPr>
              <w:spacing w:after="20" w:before="20"/>
            </w:pPr>
            <w:r/>
            <w:r>
              <w:rPr>
                <w:sz w:val="18"/>
              </w:rPr>
              <w:t>~292M THB</w:t>
            </w:r>
          </w:p>
        </w:tc>
        <w:tc>
          <w:tcPr>
            <w:tcW w:type="dxa" w:w="2268"/>
          </w:tcPr>
          <w:p>
            <w:pPr>
              <w:spacing w:after="20" w:before="20"/>
            </w:pPr>
            <w:r/>
            <w:r>
              <w:rPr>
                <w:sz w:val="18"/>
              </w:rPr>
              <w:t>~112M over</w:t>
            </w:r>
          </w:p>
        </w:tc>
        <w:tc>
          <w:tcPr>
            <w:tcW w:type="dxa" w:w="2268"/>
          </w:tcPr>
          <w:p>
            <w:pPr>
              <w:spacing w:after="20" w:before="20"/>
            </w:pPr>
            <w:r/>
            <w:r>
              <w:rPr>
                <w:sz w:val="18"/>
              </w:rPr>
              <w:t>~76M over</w:t>
            </w:r>
          </w:p>
        </w:tc>
      </w:tr>
    </w:tbl>
    <w:p>
      <w:pPr>
        <w:spacing w:after="40"/>
      </w:pPr>
    </w:p>
    <w:p>
      <w:r>
        <w:rPr/>
        <w:t>At the midpoint, four levers bring the plant inside 216M without dropping any of the machines decided above (midpoint values with their share of the contingency, estimates):</w:t>
      </w:r>
    </w:p>
    <w:tbl>
      <w:tblPr>
        <w:tblStyle w:val="TableGrid"/>
        <w:tblW w:type="auto" w:w="0"/>
        <w:jc w:val="center"/>
        <w:tblLayout w:type="fixed"/>
        <w:tblLook w:firstColumn="1" w:firstRow="1" w:lastColumn="0" w:lastRow="0" w:noHBand="0" w:noVBand="1" w:val="04A0"/>
      </w:tblPr>
      <w:tblGrid>
        <w:gridCol w:w="6236"/>
        <w:gridCol w:w="1474"/>
        <w:gridCol w:w="1928"/>
      </w:tblGrid>
      <w:tr>
        <w:trPr>
          <w:tblHeader w:val="true"/>
          <w:cantSplit/>
        </w:trPr>
        <w:tc>
          <w:tcPr>
            <w:tcW w:type="dxa" w:w="6236"/>
            <w:shd w:val="clear" w:color="auto" w:fill="1F3864"/>
          </w:tcPr>
          <w:p>
            <w:pPr>
              <w:spacing w:after="20" w:before="20"/>
            </w:pPr>
            <w:r>
              <w:rPr>
                <w:b/>
              </w:rPr>
            </w:r>
            <w:r>
              <w:rPr>
                <w:b/>
                <w:color w:val="FFFFFF"/>
                <w:sz w:val="18"/>
              </w:rPr>
              <w:t>Lever</w:t>
            </w:r>
          </w:p>
        </w:tc>
        <w:tc>
          <w:tcPr>
            <w:tcW w:type="dxa" w:w="1474"/>
            <w:shd w:val="clear" w:color="auto" w:fill="1F3864"/>
          </w:tcPr>
          <w:p>
            <w:pPr>
              <w:spacing w:after="20" w:before="20"/>
            </w:pPr>
            <w:r>
              <w:rPr>
                <w:b/>
              </w:rPr>
            </w:r>
            <w:r>
              <w:rPr>
                <w:b/>
                <w:color w:val="FFFFFF"/>
                <w:sz w:val="18"/>
              </w:rPr>
              <w:t>Saves</w:t>
            </w:r>
          </w:p>
        </w:tc>
        <w:tc>
          <w:tcPr>
            <w:tcW w:type="dxa" w:w="1928"/>
            <w:shd w:val="clear" w:color="auto" w:fill="1F3864"/>
          </w:tcPr>
          <w:p>
            <w:pPr>
              <w:spacing w:after="20" w:before="20"/>
            </w:pPr>
            <w:r>
              <w:rPr>
                <w:b/>
              </w:rPr>
            </w:r>
            <w:r>
              <w:rPr>
                <w:b/>
                <w:color w:val="FFFFFF"/>
                <w:sz w:val="18"/>
              </w:rPr>
              <w:t>Launch plant after it</w:t>
            </w:r>
          </w:p>
        </w:tc>
      </w:tr>
      <w:tr>
        <w:trPr>
          <w:cantSplit/>
        </w:trPr>
        <w:tc>
          <w:tcPr>
            <w:tcW w:type="dxa" w:w="6236"/>
          </w:tcPr>
          <w:p>
            <w:pPr>
              <w:spacing w:after="20" w:before="20"/>
            </w:pPr>
            <w:r/>
            <w:r>
              <w:rPr>
                <w:sz w:val="18"/>
              </w:rPr>
              <w:t>Rooftop solar and battery through a solar PPA (the installer owns and finances the array, the plant buys the power) instead of buying them</w:t>
            </w:r>
          </w:p>
        </w:tc>
        <w:tc>
          <w:tcPr>
            <w:tcW w:type="dxa" w:w="1474"/>
          </w:tcPr>
          <w:p>
            <w:pPr>
              <w:spacing w:after="20" w:before="20"/>
            </w:pPr>
            <w:r/>
            <w:r>
              <w:rPr>
                <w:sz w:val="18"/>
              </w:rPr>
              <w:t>~12.3M THB</w:t>
            </w:r>
          </w:p>
        </w:tc>
        <w:tc>
          <w:tcPr>
            <w:tcW w:type="dxa" w:w="1928"/>
          </w:tcPr>
          <w:p>
            <w:pPr>
              <w:spacing w:after="20" w:before="20"/>
            </w:pPr>
            <w:r/>
            <w:r>
              <w:rPr>
                <w:sz w:val="18"/>
              </w:rPr>
              <w:t>~214M THB</w:t>
            </w:r>
          </w:p>
        </w:tc>
      </w:tr>
      <w:tr>
        <w:trPr>
          <w:cantSplit/>
        </w:trPr>
        <w:tc>
          <w:tcPr>
            <w:tcW w:type="dxa" w:w="6236"/>
            <w:shd w:val="clear" w:color="auto" w:fill="F2F5FA"/>
          </w:tcPr>
          <w:p>
            <w:pPr>
              <w:spacing w:after="20" w:before="20"/>
            </w:pPr>
            <w:r/>
            <w:r>
              <w:rPr>
                <w:sz w:val="18"/>
              </w:rPr>
              <w:t>Metrology launch tier (XRF, inline vision, audio station); the laser confocal and the wide-area profiler bought from revenue</w:t>
            </w:r>
          </w:p>
        </w:tc>
        <w:tc>
          <w:tcPr>
            <w:tcW w:type="dxa" w:w="1474"/>
            <w:shd w:val="clear" w:color="auto" w:fill="F2F5FA"/>
          </w:tcPr>
          <w:p>
            <w:pPr>
              <w:spacing w:after="20" w:before="20"/>
            </w:pPr>
            <w:r/>
            <w:r>
              <w:rPr>
                <w:sz w:val="18"/>
              </w:rPr>
              <w:t>~10.1M THB</w:t>
            </w:r>
          </w:p>
        </w:tc>
        <w:tc>
          <w:tcPr>
            <w:tcW w:type="dxa" w:w="1928"/>
            <w:shd w:val="clear" w:color="auto" w:fill="F2F5FA"/>
          </w:tcPr>
          <w:p>
            <w:pPr>
              <w:spacing w:after="20" w:before="20"/>
            </w:pPr>
            <w:r/>
            <w:r>
              <w:rPr>
                <w:sz w:val="18"/>
              </w:rPr>
              <w:t>~204M THB</w:t>
            </w:r>
          </w:p>
        </w:tc>
      </w:tr>
      <w:tr>
        <w:trPr>
          <w:cantSplit/>
        </w:trPr>
        <w:tc>
          <w:tcPr>
            <w:tcW w:type="dxa" w:w="6236"/>
          </w:tcPr>
          <w:p>
            <w:pPr>
              <w:spacing w:after="20" w:before="20"/>
            </w:pPr>
            <w:r/>
            <w:r>
              <w:rPr>
                <w:sz w:val="18"/>
              </w:rPr>
              <w:t>Pheenix galvanics priced near OMS's reference for a 4-cell wet room (EUR 224k to 311k)</w:t>
            </w:r>
          </w:p>
        </w:tc>
        <w:tc>
          <w:tcPr>
            <w:tcW w:type="dxa" w:w="1474"/>
          </w:tcPr>
          <w:p>
            <w:pPr>
              <w:spacing w:after="20" w:before="20"/>
            </w:pPr>
            <w:r/>
            <w:r>
              <w:rPr>
                <w:sz w:val="18"/>
              </w:rPr>
              <w:t>~6.7M THB</w:t>
            </w:r>
          </w:p>
        </w:tc>
        <w:tc>
          <w:tcPr>
            <w:tcW w:type="dxa" w:w="1928"/>
          </w:tcPr>
          <w:p>
            <w:pPr>
              <w:spacing w:after="20" w:before="20"/>
            </w:pPr>
            <w:r/>
            <w:r>
              <w:rPr>
                <w:sz w:val="18"/>
              </w:rPr>
              <w:t>~198M THB</w:t>
            </w:r>
          </w:p>
        </w:tc>
      </w:tr>
      <w:tr>
        <w:trPr>
          <w:cantSplit/>
        </w:trPr>
        <w:tc>
          <w:tcPr>
            <w:tcW w:type="dxa" w:w="6236"/>
            <w:shd w:val="clear" w:color="auto" w:fill="F2F5FA"/>
          </w:tcPr>
          <w:p>
            <w:pPr>
              <w:spacing w:after="20" w:before="20"/>
            </w:pPr>
            <w:r/>
            <w:r>
              <w:rPr>
                <w:sz w:val="18"/>
              </w:rPr>
              <w:t>Visitor corridor built later; the plant runs without public tours at first</w:t>
            </w:r>
          </w:p>
        </w:tc>
        <w:tc>
          <w:tcPr>
            <w:tcW w:type="dxa" w:w="1474"/>
            <w:shd w:val="clear" w:color="auto" w:fill="F2F5FA"/>
          </w:tcPr>
          <w:p>
            <w:pPr>
              <w:spacing w:after="20" w:before="20"/>
            </w:pPr>
            <w:r/>
            <w:r>
              <w:rPr>
                <w:sz w:val="18"/>
              </w:rPr>
              <w:t>~4.1M THB</w:t>
            </w:r>
          </w:p>
        </w:tc>
        <w:tc>
          <w:tcPr>
            <w:tcW w:type="dxa" w:w="1928"/>
            <w:shd w:val="clear" w:color="auto" w:fill="F2F5FA"/>
          </w:tcPr>
          <w:p>
            <w:pPr>
              <w:spacing w:after="20" w:before="20"/>
            </w:pPr>
            <w:r/>
            <w:r>
              <w:rPr>
                <w:sz w:val="18"/>
              </w:rPr>
              <w:t>~193M THB</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honestly</w:t>
            </w:r>
          </w:p>
          <w:p>
            <w:pPr>
              <w:spacing w:after="60"/>
              <w:ind w:left="227"/>
            </w:pPr>
            <w:r>
              <w:rPr>
                <w:sz w:val="20"/>
              </w:rPr>
              <w:t xml:space="preserve">•  </w:t>
            </w:r>
            <w:r>
              <w:rPr>
                <w:b/>
                <w:sz w:val="20"/>
              </w:rPr>
              <w:t>216M THB is a realistic target for the full equipment list; 180M THB holds only if the open quotes land low.</w:t>
            </w:r>
            <w:r>
              <w:rPr>
                <w:sz w:val="20"/>
              </w:rPr>
              <w:t xml:space="preserve"> With the four levers and the ramp-up reserve of ~10M to 20M THB on top, the midpoint comes to ~203M to 213M THB, inside 216M.</w:t>
            </w:r>
          </w:p>
          <w:p>
            <w:pPr>
              <w:spacing w:after="60"/>
              <w:ind w:left="227"/>
            </w:pPr>
            <w:r>
              <w:rPr>
                <w:sz w:val="20"/>
              </w:rPr>
              <w:t xml:space="preserve">•  </w:t>
            </w:r>
            <w:r>
              <w:rPr>
                <w:b/>
                <w:sz w:val="20"/>
              </w:rPr>
              <w:t>180M is a low-quote outcome, not a plan.</w:t>
            </w:r>
            <w:r>
              <w:rPr>
                <w:sz w:val="20"/>
              </w:rPr>
              <w:t xml:space="preserve"> Reaching it at the midpoint needs scope cuts on top of the levers: cassette and CD-R later (~4.6M THB) and a rented crane for the installations while the frame stays crane-ready (~3.7M THB) give ~185M before the reserve, still above 180M.</w:t>
            </w:r>
          </w:p>
          <w:p>
            <w:pPr>
              <w:spacing w:after="60"/>
              <w:ind w:left="227"/>
            </w:pPr>
            <w:r>
              <w:rPr>
                <w:sz w:val="20"/>
              </w:rPr>
              <w:t xml:space="preserve">•  </w:t>
            </w:r>
            <w:r>
              <w:rPr>
                <w:b/>
                <w:sz w:val="20"/>
              </w:rPr>
              <w:t>Chinese suppliers do not change the answer.</w:t>
            </w:r>
            <w:r>
              <w:rPr>
                <w:sz w:val="20"/>
              </w:rPr>
              <w:t xml:space="preserve"> Boilers, compressed air and hydraulics were checked in October 2026: about 2M THB at the midpoint (~2.5M with contingency), ~1 % of the target. Worth taking for the two boiler modules (ASME-stamped 1.25 MPa design; an imported boiler must be verified by a certification body registered with the Thai Department of Industrial Works) and for the compressor (Kaishan and Denair have Thai offices). The Newbilt hydraulic aggregates stay Newbilt's. Chinese chillers and HVAC, larger blocks, are not checked yet.</w:t>
            </w:r>
          </w:p>
        </w:tc>
      </w:tr>
    </w:tbl>
    <w:p>
      <w:pPr>
        <w:spacing w:after="40"/>
      </w:pPr>
    </w:p>
    <w:p>
      <w:r>
        <w:rPr>
          <w:b/>
        </w:rPr>
        <w:t>What decides it.</w:t>
      </w:r>
      <w:r>
        <w:rPr/>
        <w:t xml:space="preserve"> The Classic and the Pheenix galvanics line have no price on file, and the building depends on the soil. Four requests settle most of the band: the Newbilt re-quote for the Duplex and the Classic, a Pheenix quote for the galvanics line, the building request for quotation with a soil test, and distributor quotes for the metrology stack. Until they are in, the plan quotes </w:t>
      </w:r>
      <w:r>
        <w:rPr>
          <w:b/>
        </w:rPr>
        <w:t>~216M THB as the target</w:t>
      </w:r>
      <w:r>
        <w:rPr/>
        <w:t xml:space="preserve"> with the levers above, and 180M as the low-quote case.</w:t>
      </w:r>
    </w:p>
    <w:p>
      <w:pPr>
        <w:pStyle w:val="Heading2"/>
      </w:pPr>
      <w:r>
        <w:t>8.3 Tranches</w:t>
      </w:r>
    </w:p>
    <w:p>
      <w:r>
        <w:rPr/>
        <w:t>The launch plant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907"/>
        <w:gridCol w:w="3061"/>
        <w:gridCol w:w="4195"/>
        <w:gridCol w:w="1474"/>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061"/>
            <w:shd w:val="clear" w:color="auto" w:fill="1F3864"/>
          </w:tcPr>
          <w:p>
            <w:pPr>
              <w:spacing w:after="20" w:before="20"/>
            </w:pPr>
            <w:r>
              <w:rPr>
                <w:b/>
              </w:rPr>
            </w:r>
            <w:r>
              <w:rPr>
                <w:b/>
                <w:color w:val="FFFFFF"/>
                <w:sz w:val="18"/>
              </w:rPr>
              <w:t>Trigger</w:t>
            </w:r>
          </w:p>
        </w:tc>
        <w:tc>
          <w:tcPr>
            <w:tcW w:type="dxa" w:w="4195"/>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061"/>
          </w:tcPr>
          <w:p>
            <w:pPr>
              <w:spacing w:after="20" w:before="20"/>
            </w:pPr>
            <w:r/>
            <w:r>
              <w:rPr>
                <w:sz w:val="18"/>
              </w:rPr>
              <w:t>Now</w:t>
            </w:r>
          </w:p>
        </w:tc>
        <w:tc>
          <w:tcPr>
            <w:tcW w:type="dxa" w:w="4195"/>
          </w:tcPr>
          <w:p>
            <w:pPr>
              <w:spacing w:after="20" w:before="20"/>
            </w:pPr>
            <w:r/>
            <w:r>
              <w:rPr>
                <w:sz w:val="18"/>
              </w:rPr>
              <w:t>Phase 0 work (section 14.1)</w:t>
            </w:r>
          </w:p>
        </w:tc>
        <w:tc>
          <w:tcPr>
            <w:tcW w:type="dxa" w:w="1474"/>
          </w:tcPr>
          <w:p>
            <w:pPr>
              <w:spacing w:after="20" w:before="20"/>
            </w:pPr>
            <w:r/>
            <w:r>
              <w:rPr>
                <w:sz w:val="18"/>
              </w:rPr>
              <w:t>1 to 2 %</w:t>
            </w:r>
          </w:p>
        </w:tc>
      </w:tr>
      <w:tr>
        <w:trPr>
          <w:cantSplit/>
        </w:trPr>
        <w:tc>
          <w:tcPr>
            <w:tcW w:type="dxa" w:w="907"/>
            <w:shd w:val="clear" w:color="auto" w:fill="F2F5FA"/>
          </w:tcPr>
          <w:p>
            <w:pPr>
              <w:spacing w:after="20" w:before="20"/>
            </w:pPr>
            <w:r/>
            <w:r>
              <w:rPr>
                <w:sz w:val="18"/>
              </w:rPr>
              <w:t>1</w:t>
            </w:r>
          </w:p>
        </w:tc>
        <w:tc>
          <w:tcPr>
            <w:tcW w:type="dxa" w:w="3061"/>
            <w:shd w:val="clear" w:color="auto" w:fill="F2F5FA"/>
          </w:tcPr>
          <w:p>
            <w:pPr>
              <w:spacing w:after="20" w:before="20"/>
            </w:pPr>
            <w:r/>
            <w:r>
              <w:rPr>
                <w:sz w:val="18"/>
              </w:rPr>
              <w:t>BOI certificate issued; lease signed; zoning and soil confirmed; pricing validated</w:t>
            </w:r>
          </w:p>
        </w:tc>
        <w:tc>
          <w:tcPr>
            <w:tcW w:type="dxa" w:w="4195"/>
            <w:shd w:val="clear" w:color="auto" w:fill="F2F5FA"/>
          </w:tcPr>
          <w:p>
            <w:pPr>
              <w:spacing w:after="20" w:before="20"/>
            </w:pPr>
            <w:r/>
            <w:r>
              <w:rPr>
                <w:sz w:val="18"/>
              </w:rPr>
              <w:t>Deposits on every long-lead order: Pheenix galvanics line, Sillitoe lathe, Sibert line, Newbilt Duplex and Classic; building design and permit; first boiler and chiller modules</w:t>
            </w:r>
          </w:p>
        </w:tc>
        <w:tc>
          <w:tcPr>
            <w:tcW w:type="dxa" w:w="1474"/>
            <w:shd w:val="clear" w:color="auto" w:fill="F2F5FA"/>
          </w:tcPr>
          <w:p>
            <w:pPr>
              <w:spacing w:after="20" w:before="20"/>
            </w:pPr>
            <w:r/>
            <w:r>
              <w:rPr>
                <w:sz w:val="18"/>
              </w:rPr>
              <w:t>20 to 30 %</w:t>
            </w:r>
          </w:p>
        </w:tc>
      </w:tr>
      <w:tr>
        <w:trPr>
          <w:cantSplit/>
        </w:trPr>
        <w:tc>
          <w:tcPr>
            <w:tcW w:type="dxa" w:w="907"/>
          </w:tcPr>
          <w:p>
            <w:pPr>
              <w:spacing w:after="20" w:before="20"/>
            </w:pPr>
            <w:r/>
            <w:r>
              <w:rPr>
                <w:sz w:val="18"/>
              </w:rPr>
              <w:t>2</w:t>
            </w:r>
          </w:p>
        </w:tc>
        <w:tc>
          <w:tcPr>
            <w:tcW w:type="dxa" w:w="3061"/>
          </w:tcPr>
          <w:p>
            <w:pPr>
              <w:spacing w:after="20" w:before="20"/>
            </w:pPr>
            <w:r/>
            <w:r>
              <w:rPr>
                <w:sz w:val="18"/>
              </w:rPr>
              <w:t>Building permit; vendor build dates confirmed in writing</w:t>
            </w:r>
          </w:p>
        </w:tc>
        <w:tc>
          <w:tcPr>
            <w:tcW w:type="dxa" w:w="4195"/>
          </w:tcPr>
          <w:p>
            <w:pPr>
              <w:spacing w:after="20" w:before="20"/>
            </w:pPr>
            <w:r/>
            <w:r>
              <w:rPr>
                <w:sz w:val="18"/>
              </w:rPr>
              <w:t>Construction, water-treatment building, utility yard, utilities, balance payments as machines are built</w:t>
            </w:r>
          </w:p>
        </w:tc>
        <w:tc>
          <w:tcPr>
            <w:tcW w:type="dxa" w:w="1474"/>
          </w:tcPr>
          <w:p>
            <w:pPr>
              <w:spacing w:after="20" w:before="20"/>
            </w:pPr>
            <w:r/>
            <w:r>
              <w:rPr>
                <w:sz w:val="18"/>
              </w:rPr>
              <w:t>35 to 45 %</w:t>
            </w:r>
          </w:p>
        </w:tc>
      </w:tr>
      <w:tr>
        <w:trPr>
          <w:cantSplit/>
        </w:trPr>
        <w:tc>
          <w:tcPr>
            <w:tcW w:type="dxa" w:w="907"/>
            <w:shd w:val="clear" w:color="auto" w:fill="F2F5FA"/>
          </w:tcPr>
          <w:p>
            <w:pPr>
              <w:spacing w:after="20" w:before="20"/>
            </w:pPr>
            <w:r/>
            <w:r>
              <w:rPr>
                <w:sz w:val="18"/>
              </w:rPr>
              <w:t>3</w:t>
            </w:r>
          </w:p>
        </w:tc>
        <w:tc>
          <w:tcPr>
            <w:tcW w:type="dxa" w:w="3061"/>
            <w:shd w:val="clear" w:color="auto" w:fill="F2F5FA"/>
          </w:tcPr>
          <w:p>
            <w:pPr>
              <w:spacing w:after="20" w:before="20"/>
            </w:pPr>
            <w:r/>
            <w:r>
              <w:rPr>
                <w:sz w:val="18"/>
              </w:rPr>
              <w:t>Building watertight; first machinery shipped</w:t>
            </w:r>
          </w:p>
        </w:tc>
        <w:tc>
          <w:tcPr>
            <w:tcW w:type="dxa" w:w="4195"/>
            <w:shd w:val="clear" w:color="auto" w:fill="F2F5FA"/>
          </w:tcPr>
          <w:p>
            <w:pPr>
              <w:spacing w:after="20" w:before="20"/>
            </w:pPr>
            <w:r/>
            <w:r>
              <w:rPr>
                <w:sz w:val="18"/>
              </w:rPr>
              <w:t>Fit-out, HVAC and clean zones, ZLD and DI water, crane, metrology, factory software and ERPNext, cassette and CD-R lines, the launch team</w:t>
            </w:r>
          </w:p>
        </w:tc>
        <w:tc>
          <w:tcPr>
            <w:tcW w:type="dxa" w:w="1474"/>
            <w:shd w:val="clear" w:color="auto" w:fill="F2F5FA"/>
          </w:tcPr>
          <w:p>
            <w:pPr>
              <w:spacing w:after="20" w:before="20"/>
            </w:pPr>
            <w:r/>
            <w:r>
              <w:rPr>
                <w:sz w:val="18"/>
              </w:rPr>
              <w:t>15 to 20 %</w:t>
            </w:r>
          </w:p>
        </w:tc>
      </w:tr>
      <w:tr>
        <w:trPr>
          <w:cantSplit/>
        </w:trPr>
        <w:tc>
          <w:tcPr>
            <w:tcW w:type="dxa" w:w="907"/>
          </w:tcPr>
          <w:p>
            <w:pPr>
              <w:spacing w:after="20" w:before="20"/>
            </w:pPr>
            <w:r/>
            <w:r>
              <w:rPr>
                <w:sz w:val="18"/>
              </w:rPr>
              <w:t>4</w:t>
            </w:r>
          </w:p>
        </w:tc>
        <w:tc>
          <w:tcPr>
            <w:tcW w:type="dxa" w:w="3061"/>
          </w:tcPr>
          <w:p>
            <w:pPr>
              <w:spacing w:after="20" w:before="20"/>
            </w:pPr>
            <w:r/>
            <w:r>
              <w:rPr>
                <w:sz w:val="18"/>
              </w:rPr>
              <w:t>Cutting room and galvanics commissioned; first stampers made</w:t>
            </w:r>
          </w:p>
        </w:tc>
        <w:tc>
          <w:tcPr>
            <w:tcW w:type="dxa" w:w="4195"/>
          </w:tcPr>
          <w:p>
            <w:pPr>
              <w:spacing w:after="20" w:before="20"/>
            </w:pPr>
            <w:r/>
            <w:r>
              <w:rPr>
                <w:sz w:val="18"/>
              </w:rPr>
              <w:t>Working capital, PVC stock, spares, first-year rent; the ramp-up reserve (outside the total) is drawn from here on</w:t>
            </w:r>
          </w:p>
        </w:tc>
        <w:tc>
          <w:tcPr>
            <w:tcW w:type="dxa" w:w="1474"/>
          </w:tcPr>
          <w:p>
            <w:pPr>
              <w:spacing w:after="20" w:before="20"/>
            </w:pPr>
            <w:r/>
            <w:r>
              <w:rPr>
                <w:sz w:val="18"/>
              </w:rPr>
              <w:t>8 to 12 %</w:t>
            </w:r>
          </w:p>
        </w:tc>
      </w:tr>
    </w:tbl>
    <w:p>
      <w:pPr>
        <w:spacing w:after="40"/>
      </w:pPr>
    </w:p>
    <w:p>
      <w:pPr>
        <w:pStyle w:val="Heading2"/>
      </w:pPr>
      <w:r>
        <w:t>8.4 What moves the number</w:t>
      </w:r>
    </w:p>
    <w:p>
      <w:pPr>
        <w:pStyle w:val="ListBullet"/>
      </w:pPr>
      <w:r>
        <w:rPr>
          <w:b/>
        </w:rPr>
        <w:t>BOI promotion.</w:t>
      </w:r>
      <w:r>
        <w:rPr/>
        <w:t xml:space="preserve"> The machinery duty and import VAT exemption applies across most of the equipment blocks (~0.11M USD of duty and ~0.17M USD of import VAT cash flow, estimates), and the automation and solar spend converts into corporate income tax exemption headroom. The application precedes every purchase order. One interaction to check with the BOI consultant: the solar measure is based on the plant's own solar investment, so the solar PPA lever would likely give that headroom up (our reading).</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The two missing machine prices.</w:t>
      </w:r>
      <w:r>
        <w:rPr/>
        <w:t xml:space="preserve"> The Classic and the Pheenix line carry two of the widest machine bands in the table and have no vendor price at all. The Classic band is a placeholder borrowed from another vendor's automatic press.</w:t>
      </w:r>
    </w:p>
    <w:p>
      <w:pPr>
        <w:pStyle w:val="ListBullet"/>
      </w:pPr>
      <w:r>
        <w:rPr>
          <w:b/>
        </w:rPr>
        <w:t>Chinese suppliers: ~1 %.</w:t>
      </w:r>
      <w:r>
        <w:rPr/>
        <w:t xml:space="preserve"> Checked for boilers, compressed air and hydraulics, worth about 2M THB (section 8.2). Chillers and HVAC are the larger blocks and have not been checked yet; that is the next Chinese lever to test.</w:t>
      </w:r>
    </w:p>
    <w:p>
      <w:pPr>
        <w:pStyle w:val="ListBullet"/>
      </w:pPr>
      <w:r>
        <w:rPr>
          <w:b/>
        </w:rPr>
        <w:t>Solar PPA.</w:t>
      </w:r>
      <w:r>
        <w:rPr/>
        <w:t xml:space="preserve"> The largest single lever (~12.3M THB at the midpoint) moves the array off the capital budget and adds a power price to the energy line instead.</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1.48M USD, so the same move is worth roughly USD 0.1M to 0.15M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the launch plant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3.50 to 4.60 per record</w:t>
      </w:r>
      <w:r>
        <w:rPr/>
        <w:t xml:space="preserve"> (THB 115 to 150), across run sizes and the standard/colour mix, covering pressing, labels, inner sleeve and assembly into the jacket; deluxe packaging passed through at cost plus margin. Western plants charge roughly USD 2.90 to 5.80 for standard black at volume, with premiums of 0.60 to 1.70 for colour and splatter, 180 g and small runs.</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The launch plant models 200 to 400 titles a year; mastering is labour-bound, and the plan staffs one to two engineers, which caps this line.</w:t>
      </w:r>
    </w:p>
    <w:p>
      <w:pPr>
        <w:pStyle w:val="ListBullet"/>
      </w:pPr>
      <w:r>
        <w:rPr>
          <w:b/>
        </w:rPr>
        <w:t>Cassettes and CD-Rs</w:t>
      </w:r>
      <w:r>
        <w:rPr/>
        <w:t xml:space="preserve"> are add-on lines,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the launch plant</w:t>
      </w:r>
    </w:p>
    <w:p>
      <w:r>
        <w:rPr/>
        <w:t xml:space="preserve">Three presses make </w:t>
      </w:r>
      <w:r>
        <w:rPr>
          <w:b/>
        </w:rPr>
        <w:t>~0.71 to 0.97 million records a year on two shifts</w:t>
      </w:r>
      <w:r>
        <w:rPr/>
        <w:t xml:space="preserve"> (estimate): the two semi-automatic presses of the Duplex system at 60 to 80 records an hour each and the Classic at ~128 an hour (28 s cycle, vendor flyer), at 60 to 70 % effectiveness, 16 hours a day and 300 days a year. The press fleet calculator, at the team's planning rates (3 records a minute per Duplex system, 2 per Classic, 65 % effectiveness), gives ~0.94 million. The central case takes the middle, 0.84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0.71M</w:t>
            </w:r>
          </w:p>
        </w:tc>
        <w:tc>
          <w:tcPr>
            <w:tcW w:type="dxa" w:w="2268"/>
          </w:tcPr>
          <w:p>
            <w:pPr>
              <w:spacing w:after="20" w:before="20"/>
            </w:pPr>
            <w:r/>
            <w:r>
              <w:rPr>
                <w:sz w:val="18"/>
              </w:rPr>
              <w:t>0.84M</w:t>
            </w:r>
          </w:p>
        </w:tc>
        <w:tc>
          <w:tcPr>
            <w:tcW w:type="dxa" w:w="2268"/>
          </w:tcPr>
          <w:p>
            <w:pPr>
              <w:spacing w:after="20" w:before="20"/>
            </w:pPr>
            <w:r/>
            <w:r>
              <w:rPr>
                <w:sz w:val="18"/>
              </w:rPr>
              <w:t>0.97M</w:t>
            </w:r>
          </w:p>
        </w:tc>
      </w:tr>
      <w:tr>
        <w:trPr>
          <w:cantSplit/>
        </w:trPr>
        <w:tc>
          <w:tcPr>
            <w:tcW w:type="dxa" w:w="2835"/>
            <w:shd w:val="clear" w:color="auto" w:fill="F2F5FA"/>
          </w:tcPr>
          <w:p>
            <w:pPr>
              <w:spacing w:after="20" w:before="20"/>
            </w:pPr>
            <w:r/>
            <w:r>
              <w:rPr>
                <w:sz w:val="18"/>
              </w:rPr>
              <w:t>Blended price</w:t>
            </w:r>
          </w:p>
        </w:tc>
        <w:tc>
          <w:tcPr>
            <w:tcW w:type="dxa" w:w="2268"/>
            <w:shd w:val="clear" w:color="auto" w:fill="F2F5FA"/>
          </w:tcPr>
          <w:p>
            <w:pPr>
              <w:spacing w:after="20" w:before="20"/>
            </w:pPr>
            <w:r/>
            <w:r>
              <w:rPr>
                <w:sz w:val="18"/>
              </w:rPr>
              <w:t>3.50</w:t>
            </w:r>
          </w:p>
        </w:tc>
        <w:tc>
          <w:tcPr>
            <w:tcW w:type="dxa" w:w="2268"/>
            <w:shd w:val="clear" w:color="auto" w:fill="F2F5FA"/>
          </w:tcPr>
          <w:p>
            <w:pPr>
              <w:spacing w:after="20" w:before="20"/>
            </w:pPr>
            <w:r/>
            <w:r>
              <w:rPr>
                <w:sz w:val="18"/>
              </w:rPr>
              <w:t>4.05</w:t>
            </w:r>
          </w:p>
        </w:tc>
        <w:tc>
          <w:tcPr>
            <w:tcW w:type="dxa" w:w="2268"/>
            <w:shd w:val="clear" w:color="auto" w:fill="F2F5FA"/>
          </w:tcPr>
          <w:p>
            <w:pPr>
              <w:spacing w:after="20" w:before="20"/>
            </w:pPr>
            <w:r/>
            <w:r>
              <w:rPr>
                <w:sz w:val="18"/>
              </w:rPr>
              <w:t>4.60</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~2.49M</w:t>
            </w:r>
          </w:p>
        </w:tc>
        <w:tc>
          <w:tcPr>
            <w:tcW w:type="dxa" w:w="2268"/>
          </w:tcPr>
          <w:p>
            <w:pPr>
              <w:spacing w:after="20" w:before="20"/>
            </w:pPr>
            <w:r/>
            <w:r>
              <w:rPr>
                <w:sz w:val="18"/>
              </w:rPr>
              <w:t>~3.40M</w:t>
            </w:r>
          </w:p>
        </w:tc>
        <w:tc>
          <w:tcPr>
            <w:tcW w:type="dxa" w:w="2268"/>
          </w:tcPr>
          <w:p>
            <w:pPr>
              <w:spacing w:after="20" w:before="20"/>
            </w:pPr>
            <w:r/>
            <w:r>
              <w:rPr>
                <w:sz w:val="18"/>
              </w:rPr>
              <w:t>~4.46M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2.60M (~86M THB)</w:t>
            </w:r>
          </w:p>
        </w:tc>
        <w:tc>
          <w:tcPr>
            <w:tcW w:type="dxa" w:w="2268"/>
            <w:shd w:val="clear" w:color="auto" w:fill="F2F5FA"/>
          </w:tcPr>
          <w:p>
            <w:pPr>
              <w:spacing w:after="20" w:before="20"/>
            </w:pPr>
            <w:r/>
            <w:r>
              <w:rPr>
                <w:b/>
                <w:sz w:val="18"/>
              </w:rPr>
              <w:t>3.75M (~124M THB)</w:t>
            </w:r>
          </w:p>
        </w:tc>
        <w:tc>
          <w:tcPr>
            <w:tcW w:type="dxa" w:w="2268"/>
            <w:shd w:val="clear" w:color="auto" w:fill="F2F5FA"/>
          </w:tcPr>
          <w:p>
            <w:pPr>
              <w:spacing w:after="20" w:before="20"/>
            </w:pPr>
            <w:r/>
            <w:r>
              <w:rPr>
                <w:b/>
                <w:sz w:val="18"/>
              </w:rPr>
              <w:t>5.15M (~170M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launch plant</w:t>
            </w:r>
          </w:p>
        </w:tc>
        <w:tc>
          <w:tcPr>
            <w:tcW w:type="dxa" w:w="1474"/>
          </w:tcPr>
          <w:p>
            <w:pPr>
              <w:spacing w:after="20" w:before="20"/>
            </w:pPr>
            <w:r/>
            <w:r>
              <w:rPr>
                <w:b/>
                <w:sz w:val="17"/>
              </w:rPr>
              <w:t>0.12 to 0.23</w:t>
            </w:r>
          </w:p>
        </w:tc>
        <w:tc>
          <w:tcPr>
            <w:tcW w:type="dxa" w:w="1474"/>
          </w:tcPr>
          <w:p>
            <w:pPr>
              <w:spacing w:after="20" w:before="20"/>
            </w:pPr>
            <w:r/>
            <w:r>
              <w:rPr>
                <w:sz w:val="17"/>
              </w:rPr>
              <w:t>4.0 to 7.6</w:t>
            </w:r>
          </w:p>
        </w:tc>
        <w:tc>
          <w:tcPr>
            <w:tcW w:type="dxa" w:w="4309"/>
          </w:tcPr>
          <w:p>
            <w:pPr>
              <w:spacing w:after="20" w:before="20"/>
            </w:pPr>
            <w:r/>
            <w:r>
              <w:rPr>
                <w:sz w:val="17"/>
              </w:rPr>
              <w:t>13 to 19 direct staff, 3.7M to 5.4M THB a year, over 0.71 to 0.97M records (0.08 to 0.16 on the five-press fleet)</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launch plant</w:t>
            </w:r>
          </w:p>
        </w:tc>
        <w:tc>
          <w:tcPr>
            <w:tcW w:type="dxa" w:w="1474"/>
          </w:tcPr>
          <w:p>
            <w:pPr>
              <w:spacing w:after="20" w:before="20"/>
            </w:pPr>
            <w:r/>
            <w:r>
              <w:rPr>
                <w:b/>
                <w:sz w:val="17"/>
              </w:rPr>
              <w:t>~1.34 to 2.65</w:t>
            </w:r>
          </w:p>
        </w:tc>
        <w:tc>
          <w:tcPr>
            <w:tcW w:type="dxa" w:w="1474"/>
          </w:tcPr>
          <w:p>
            <w:pPr>
              <w:spacing w:after="20" w:before="20"/>
            </w:pPr>
            <w:r/>
            <w:r>
              <w:rPr>
                <w:b/>
                <w:sz w:val="17"/>
              </w:rPr>
              <w:t>~44 to 87</w:t>
            </w:r>
          </w:p>
        </w:tc>
        <w:tc>
          <w:tcPr>
            <w:tcW w:type="dxa" w:w="4309"/>
          </w:tcPr>
          <w:p>
            <w:pPr>
              <w:spacing w:after="20" w:before="20"/>
            </w:pPr>
            <w:r/>
            <w:r>
              <w:rPr>
                <w:sz w:val="17"/>
              </w:rPr>
              <w:t>Central 1.98</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0.71 to 0.97 million. Labour per record rises to </w:t>
      </w:r>
      <w:r>
        <w:rPr>
          <w:b/>
        </w:rPr>
        <w:t>0.12 / 0.16 / 0.23 USD</w:t>
      </w:r>
      <w:r>
        <w:rPr/>
        <w:t xml:space="preserve"> (favourable / central / adverse), and the direct cost to 1.34 / 1.98 / 2.65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the launch plant</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8.9M USD over 10 years (adverse), the 216M THB target (~6.55M USD) over 12.5 years (central), and 4.9M USD over 15 years (favourable).</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0.71M</w:t>
            </w:r>
          </w:p>
        </w:tc>
        <w:tc>
          <w:tcPr>
            <w:tcW w:type="dxa" w:w="2721"/>
          </w:tcPr>
          <w:p>
            <w:pPr>
              <w:spacing w:after="20" w:before="20"/>
            </w:pPr>
            <w:r/>
            <w:r>
              <w:rPr>
                <w:sz w:val="18"/>
              </w:rPr>
              <w:t>0.84M</w:t>
            </w:r>
          </w:p>
        </w:tc>
        <w:tc>
          <w:tcPr>
            <w:tcW w:type="dxa" w:w="2041"/>
          </w:tcPr>
          <w:p>
            <w:pPr>
              <w:spacing w:after="20" w:before="20"/>
            </w:pPr>
            <w:r/>
            <w:r>
              <w:rPr>
                <w:sz w:val="18"/>
              </w:rPr>
              <w:t>0.97M</w:t>
            </w:r>
          </w:p>
        </w:tc>
      </w:tr>
      <w:tr>
        <w:trPr>
          <w:cantSplit/>
        </w:trPr>
        <w:tc>
          <w:tcPr>
            <w:tcW w:type="dxa" w:w="2835"/>
            <w:shd w:val="clear" w:color="auto" w:fill="F2F5FA"/>
          </w:tcPr>
          <w:p>
            <w:pPr>
              <w:spacing w:after="20" w:before="20"/>
            </w:pPr>
            <w:r/>
            <w:r>
              <w:rPr>
                <w:sz w:val="18"/>
              </w:rPr>
              <w:t>Blended price</w:t>
            </w:r>
          </w:p>
        </w:tc>
        <w:tc>
          <w:tcPr>
            <w:tcW w:type="dxa" w:w="2041"/>
            <w:shd w:val="clear" w:color="auto" w:fill="F2F5FA"/>
          </w:tcPr>
          <w:p>
            <w:pPr>
              <w:spacing w:after="20" w:before="20"/>
            </w:pPr>
            <w:r/>
            <w:r>
              <w:rPr>
                <w:sz w:val="18"/>
              </w:rPr>
              <w:t>3.50</w:t>
            </w:r>
          </w:p>
        </w:tc>
        <w:tc>
          <w:tcPr>
            <w:tcW w:type="dxa" w:w="2721"/>
            <w:shd w:val="clear" w:color="auto" w:fill="F2F5FA"/>
          </w:tcPr>
          <w:p>
            <w:pPr>
              <w:spacing w:after="20" w:before="20"/>
            </w:pPr>
            <w:r/>
            <w:r>
              <w:rPr>
                <w:sz w:val="18"/>
              </w:rPr>
              <w:t>4.05</w:t>
            </w:r>
          </w:p>
        </w:tc>
        <w:tc>
          <w:tcPr>
            <w:tcW w:type="dxa" w:w="2041"/>
            <w:shd w:val="clear" w:color="auto" w:fill="F2F5FA"/>
          </w:tcPr>
          <w:p>
            <w:pPr>
              <w:spacing w:after="20" w:before="20"/>
            </w:pPr>
            <w:r/>
            <w:r>
              <w:rPr>
                <w:sz w:val="18"/>
              </w:rPr>
              <w:t>4.60</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2.65</w:t>
            </w:r>
          </w:p>
        </w:tc>
        <w:tc>
          <w:tcPr>
            <w:tcW w:type="dxa" w:w="2721"/>
          </w:tcPr>
          <w:p>
            <w:pPr>
              <w:spacing w:after="20" w:before="20"/>
            </w:pPr>
            <w:r/>
            <w:r>
              <w:rPr>
                <w:sz w:val="18"/>
              </w:rPr>
              <w:t>1.98</w:t>
            </w:r>
          </w:p>
        </w:tc>
        <w:tc>
          <w:tcPr>
            <w:tcW w:type="dxa" w:w="2041"/>
          </w:tcPr>
          <w:p>
            <w:pPr>
              <w:spacing w:after="20" w:before="20"/>
            </w:pPr>
            <w:r/>
            <w:r>
              <w:rPr>
                <w:sz w:val="18"/>
              </w:rPr>
              <w:t>1.34</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0.85</w:t>
            </w:r>
          </w:p>
        </w:tc>
        <w:tc>
          <w:tcPr>
            <w:tcW w:type="dxa" w:w="2721"/>
            <w:shd w:val="clear" w:color="auto" w:fill="F2F5FA"/>
          </w:tcPr>
          <w:p>
            <w:pPr>
              <w:spacing w:after="20" w:before="20"/>
            </w:pPr>
            <w:r/>
            <w:r>
              <w:rPr>
                <w:sz w:val="18"/>
              </w:rPr>
              <w:t>2.07</w:t>
            </w:r>
          </w:p>
        </w:tc>
        <w:tc>
          <w:tcPr>
            <w:tcW w:type="dxa" w:w="2041"/>
            <w:shd w:val="clear" w:color="auto" w:fill="F2F5FA"/>
          </w:tcPr>
          <w:p>
            <w:pPr>
              <w:spacing w:after="20" w:before="20"/>
            </w:pPr>
            <w:r/>
            <w:r>
              <w:rPr>
                <w:sz w:val="18"/>
              </w:rPr>
              <w:t>3.26</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0.60M</w:t>
            </w:r>
          </w:p>
        </w:tc>
        <w:tc>
          <w:tcPr>
            <w:tcW w:type="dxa" w:w="2721"/>
          </w:tcPr>
          <w:p>
            <w:pPr>
              <w:spacing w:after="20" w:before="20"/>
            </w:pPr>
            <w:r/>
            <w:r>
              <w:rPr>
                <w:sz w:val="18"/>
              </w:rPr>
              <w:t>1.74M</w:t>
            </w:r>
          </w:p>
        </w:tc>
        <w:tc>
          <w:tcPr>
            <w:tcW w:type="dxa" w:w="2041"/>
          </w:tcPr>
          <w:p>
            <w:pPr>
              <w:spacing w:after="20" w:before="20"/>
            </w:pPr>
            <w:r/>
            <w:r>
              <w:rPr>
                <w:sz w:val="18"/>
              </w:rPr>
              <w:t>3.17M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0.67M</w:t>
            </w:r>
          </w:p>
        </w:tc>
        <w:tc>
          <w:tcPr>
            <w:tcW w:type="dxa" w:w="2721"/>
          </w:tcPr>
          <w:p>
            <w:pPr>
              <w:spacing w:after="20" w:before="20"/>
            </w:pPr>
            <w:r/>
            <w:r>
              <w:rPr>
                <w:b/>
                <w:sz w:val="18"/>
              </w:rPr>
              <w:t>1.96M</w:t>
            </w:r>
          </w:p>
        </w:tc>
        <w:tc>
          <w:tcPr>
            <w:tcW w:type="dxa" w:w="2041"/>
          </w:tcPr>
          <w:p>
            <w:pPr>
              <w:spacing w:after="20" w:before="20"/>
            </w:pPr>
            <w:r/>
            <w:r>
              <w:rPr>
                <w:b/>
                <w:sz w:val="18"/>
              </w:rPr>
              <w:t>3.65M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0.22M</w:t>
            </w:r>
          </w:p>
        </w:tc>
        <w:tc>
          <w:tcPr>
            <w:tcW w:type="dxa" w:w="2721"/>
          </w:tcPr>
          <w:p>
            <w:pPr>
              <w:spacing w:after="20" w:before="20"/>
            </w:pPr>
            <w:r/>
            <w:r>
              <w:rPr>
                <w:b/>
                <w:sz w:val="18"/>
              </w:rPr>
              <w:t>1.63M</w:t>
            </w:r>
          </w:p>
        </w:tc>
        <w:tc>
          <w:tcPr>
            <w:tcW w:type="dxa" w:w="2041"/>
          </w:tcPr>
          <w:p>
            <w:pPr>
              <w:spacing w:after="20" w:before="20"/>
            </w:pPr>
            <w:r/>
            <w:r>
              <w:rPr>
                <w:b/>
                <w:sz w:val="18"/>
              </w:rPr>
              <w:t>3.45M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0.89M</w:t>
            </w:r>
          </w:p>
        </w:tc>
        <w:tc>
          <w:tcPr>
            <w:tcW w:type="dxa" w:w="2721"/>
            <w:shd w:val="clear" w:color="auto" w:fill="F2F5FA"/>
          </w:tcPr>
          <w:p>
            <w:pPr>
              <w:spacing w:after="20" w:before="20"/>
            </w:pPr>
            <w:r/>
            <w:r>
              <w:rPr>
                <w:sz w:val="18"/>
              </w:rPr>
              <w:t>0.52M</w:t>
            </w:r>
          </w:p>
        </w:tc>
        <w:tc>
          <w:tcPr>
            <w:tcW w:type="dxa" w:w="2041"/>
            <w:shd w:val="clear" w:color="auto" w:fill="F2F5FA"/>
          </w:tcPr>
          <w:p>
            <w:pPr>
              <w:spacing w:after="20" w:before="20"/>
            </w:pPr>
            <w:r/>
            <w:r>
              <w:rPr>
                <w:sz w:val="18"/>
              </w:rPr>
              <w:t>0.33M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-0.67M</w:t>
            </w:r>
          </w:p>
        </w:tc>
        <w:tc>
          <w:tcPr>
            <w:tcW w:type="dxa" w:w="2721"/>
          </w:tcPr>
          <w:p>
            <w:pPr>
              <w:spacing w:after="20" w:before="20"/>
            </w:pPr>
            <w:r/>
            <w:r>
              <w:rPr>
                <w:b/>
                <w:sz w:val="18"/>
              </w:rPr>
              <w:t>1.11M</w:t>
            </w:r>
          </w:p>
        </w:tc>
        <w:tc>
          <w:tcPr>
            <w:tcW w:type="dxa" w:w="2041"/>
          </w:tcPr>
          <w:p>
            <w:pPr>
              <w:spacing w:after="20" w:before="20"/>
            </w:pPr>
            <w:r/>
            <w:r>
              <w:rPr>
                <w:b/>
                <w:sz w:val="18"/>
              </w:rPr>
              <w:t>3.12M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2.60M (~86M THB)</w:t>
            </w:r>
          </w:p>
        </w:tc>
        <w:tc>
          <w:tcPr>
            <w:tcW w:type="dxa" w:w="2721"/>
            <w:shd w:val="clear" w:color="auto" w:fill="F2F5FA"/>
          </w:tcPr>
          <w:p>
            <w:pPr>
              <w:spacing w:after="20" w:before="20"/>
            </w:pPr>
            <w:r/>
            <w:r>
              <w:rPr>
                <w:sz w:val="18"/>
              </w:rPr>
              <w:t>3.75M (~124M THB)</w:t>
            </w:r>
          </w:p>
        </w:tc>
        <w:tc>
          <w:tcPr>
            <w:tcW w:type="dxa" w:w="2041"/>
            <w:shd w:val="clear" w:color="auto" w:fill="F2F5FA"/>
          </w:tcPr>
          <w:p>
            <w:pPr>
              <w:spacing w:after="20" w:before="20"/>
            </w:pPr>
            <w:r/>
            <w:r>
              <w:rPr>
                <w:sz w:val="18"/>
              </w:rPr>
              <w:t>5.15M (~170M THB)</w:t>
            </w:r>
          </w:p>
        </w:tc>
      </w:tr>
      <w:tr>
        <w:trPr>
          <w:cantSplit/>
        </w:trPr>
        <w:tc>
          <w:tcPr>
            <w:tcW w:type="dxa" w:w="2835"/>
          </w:tcPr>
          <w:p>
            <w:pPr>
              <w:spacing w:after="20" w:before="20"/>
            </w:pPr>
            <w:r/>
            <w:r>
              <w:rPr>
                <w:sz w:val="18"/>
              </w:rPr>
              <w:t>Payback (EBITDA, mature year)</w:t>
            </w:r>
          </w:p>
        </w:tc>
        <w:tc>
          <w:tcPr>
            <w:tcW w:type="dxa" w:w="2041"/>
          </w:tcPr>
          <w:p>
            <w:pPr>
              <w:spacing w:after="20" w:before="20"/>
            </w:pPr>
            <w:r/>
            <w:r>
              <w:rPr>
                <w:sz w:val="18"/>
              </w:rPr>
              <w:t>never</w:t>
            </w:r>
          </w:p>
        </w:tc>
        <w:tc>
          <w:tcPr>
            <w:tcW w:type="dxa" w:w="2721"/>
          </w:tcPr>
          <w:p>
            <w:pPr>
              <w:spacing w:after="20" w:before="20"/>
            </w:pPr>
            <w:r/>
            <w:r>
              <w:rPr>
                <w:sz w:val="18"/>
              </w:rPr>
              <w:t>~4 yr (3.0 to 5.5 on 4.9M to 8.9M)</w:t>
            </w:r>
          </w:p>
        </w:tc>
        <w:tc>
          <w:tcPr>
            <w:tcW w:type="dxa" w:w="2041"/>
          </w:tcPr>
          <w:p>
            <w:pPr>
              <w:spacing w:after="20" w:before="20"/>
            </w:pPr>
            <w:r/>
            <w:r>
              <w:rPr>
                <w:sz w:val="18"/>
              </w:rPr>
              <w:t>~1.4 yr</w:t>
            </w:r>
          </w:p>
        </w:tc>
      </w:tr>
    </w:tbl>
    <w:p>
      <w:pPr>
        <w:spacing w:before="40" w:after="160"/>
      </w:pPr>
      <w:r>
        <w:rPr>
          <w:i/>
          <w:color w:val="595959"/>
          <w:sz w:val="17"/>
        </w:rPr>
        <w:t>Estimates, docs/finance/revenue-model.md 'Operating picture of the launch plant (October 2026)'. Title services at 60 to 70 % contribution after lacquers, styli and nickel.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216M THB.</w:t>
            </w:r>
            <w:r>
              <w:rPr>
                <w:sz w:val="20"/>
              </w:rPr>
              <w:t xml:space="preserve"> EBITDA ~1.6M USD (~54M THB) and operating profit ~1.1M USD (~37M THB) a year once the plant runs at volume. It breaks even on operating profit at about </w:t>
            </w:r>
            <w:r>
              <w:rPr>
                <w:b/>
                <w:sz w:val="20"/>
              </w:rPr>
              <w:t>0.3 million records a year, a little over a third of capacity</w:t>
            </w:r>
            <w:r>
              <w:rPr>
                <w:sz w:val="20"/>
              </w:rPr>
              <w:t>.</w:t>
            </w:r>
          </w:p>
          <w:p>
            <w:pPr>
              <w:spacing w:after="60"/>
              <w:ind w:left="227"/>
            </w:pPr>
            <w:r>
              <w:rPr>
                <w:sz w:val="20"/>
              </w:rPr>
              <w:t xml:space="preserve">•  </w:t>
            </w:r>
            <w:r>
              <w:rPr>
                <w:b/>
                <w:sz w:val="20"/>
              </w:rPr>
              <w:t>The adverse case cannot cover depreciation at any volume three presses make.</w:t>
            </w:r>
            <w:r>
              <w:rPr>
                <w:sz w:val="20"/>
              </w:rPr>
              <w:t xml:space="preserve"> It would need ~1.5 million records. It stacks the low price, the high cost, the high capital and the high overheads at once. At the central cost and volume, the price that covers depreciation is only ~2.7 to 3.0 USD (~90 to 98 THB) a record,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~43 % is far above the 15 to 25 % pressing plants earn. The direct cost table counts only per-record consumables and direct payroll and leaves out indirect labour (supervision, planning, warehouse), freight, scrap above the reject allowance and sales commissions. </w:t>
            </w:r>
            <w:r>
              <w:rPr>
                <w:b/>
                <w:sz w:val="20"/>
              </w:rPr>
              <w:t>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The press fleet calculator, with its own cost build-up, gives a somewhat better central picture at 850k records: revenue 3.75M, EBITDA 1.82M, operating profit 1.29M USD, payback 3.6 years. Not modelled: cassette and CD-R lines, stamper supply to other plants, dropshipping fees, and the ramp year. BOI tax exemptions shield part of early-year profits where there are any.</w:t>
            </w:r>
          </w:p>
        </w:tc>
      </w:tr>
    </w:tbl>
    <w:p>
      <w:pPr>
        <w:spacing w:after="40"/>
      </w:pPr>
    </w:p>
    <w:p>
      <w:pPr>
        <w:pStyle w:val="Heading2"/>
      </w:pPr>
      <w:r>
        <w:t>9.5 The ramp</w:t>
      </w:r>
    </w:p>
    <w:p>
      <w:r>
        <w:rPr/>
        <w:t xml:space="preserve">The table above is a mature year. The launch plant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outside the investment total)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w:t>
      </w:r>
    </w:p>
    <w:p>
      <w:r>
        <w:rPr>
          <w:b/>
        </w:rPr>
        <w:t>The growth option.</w:t>
      </w:r>
      <w:r>
        <w:rPr/>
        <w:t xml:space="preserve"> A second Duplex system (two more semi-automatic presses) lifts the plant to ~1.0 to 1.5 million records a year, roughly </w:t>
      </w:r>
      <w:r>
        <w:rPr>
          <w:b/>
        </w:rPr>
        <w:t>+0.3 to 0.5 million records</w:t>
      </w:r>
      <w:r>
        <w:rPr/>
        <w:t xml:space="preserve">, for </w:t>
      </w:r>
      <w:r>
        <w:rPr>
          <w:b/>
        </w:rPr>
        <w:t>~USD 230k to 300k</w:t>
      </w:r>
      <w:r>
        <w:rPr/>
        <w:t xml:space="preserve"> for the press system (estimate: two presses at the quoted ~115k per press and extruder set, plus hydraulic unit and EX 35, no EX 35 price on file); its utility modules and installation come on top.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 or PPA)</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the full launch plant,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security, crane;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metrology parts bought from revenue if that lever is used; the visitor corridor if built later;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~161M to 292M THB in one round, against ~57M to 95M THB for the superseded phased entry; more of it is committed before the market has validated the price.</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launch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on the 216M target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 and price</w:t>
            </w:r>
          </w:p>
        </w:tc>
        <w:tc>
          <w:tcPr>
            <w:tcW w:type="dxa" w:w="2948"/>
            <w:shd w:val="clear" w:color="auto" w:fill="F2F5FA"/>
          </w:tcPr>
          <w:p>
            <w:pPr>
              <w:spacing w:after="20" w:before="20"/>
            </w:pPr>
            <w:r/>
            <w:r>
              <w:rPr>
                <w:sz w:val="16"/>
              </w:rPr>
              <w:t>The cost structure is mostly fixed; the adverse case loses money even at the full volume of three presses (it needs ~1.5M records to cover depreciation)</w:t>
            </w:r>
          </w:p>
        </w:tc>
        <w:tc>
          <w:tcPr>
            <w:tcW w:type="dxa" w:w="3515"/>
            <w:shd w:val="clear" w:color="auto" w:fill="F2F5FA"/>
          </w:tcPr>
          <w:p>
            <w:pPr>
              <w:spacing w:after="20" w:before="20"/>
            </w:pPr>
            <w:r/>
            <w:r>
              <w:rPr>
                <w:sz w:val="16"/>
              </w:rPr>
              <w:t>Central breaks even at ~0.3M records; commission in sequence; growth options wait for demand; treat the adverse column as the honest one</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Missing prices: Classic and Pheenix line</w:t>
            </w:r>
          </w:p>
        </w:tc>
        <w:tc>
          <w:tcPr>
            <w:tcW w:type="dxa" w:w="2948"/>
          </w:tcPr>
          <w:p>
            <w:pPr>
              <w:spacing w:after="20" w:before="20"/>
            </w:pPr>
            <w:r/>
            <w:r>
              <w:rPr>
                <w:sz w:val="16"/>
              </w:rPr>
              <w:t>Two of the largest machine lines have no vendor price; the Classic band is a placeholder</w:t>
            </w:r>
          </w:p>
        </w:tc>
        <w:tc>
          <w:tcPr>
            <w:tcW w:type="dxa" w:w="3515"/>
          </w:tcPr>
          <w:p>
            <w:pPr>
              <w:spacing w:after="20" w:before="20"/>
            </w:pPr>
            <w:r/>
            <w:r>
              <w:rPr>
                <w:sz w:val="16"/>
              </w:rPr>
              <w:t>Newbilt re-quote and Pheenix quote in phase 0; OMS's reference prices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Budget fit against 216M THB</w:t>
            </w:r>
          </w:p>
        </w:tc>
        <w:tc>
          <w:tcPr>
            <w:tcW w:type="dxa" w:w="2948"/>
            <w:shd w:val="clear" w:color="auto" w:fill="F2F5FA"/>
          </w:tcPr>
          <w:p>
            <w:pPr>
              <w:spacing w:after="20" w:before="20"/>
            </w:pPr>
            <w:r/>
            <w:r>
              <w:rPr>
                <w:sz w:val="16"/>
              </w:rPr>
              <w:t>Midpoint ~227M is ~11M over; the high end is ~292M</w:t>
            </w:r>
          </w:p>
        </w:tc>
        <w:tc>
          <w:tcPr>
            <w:tcW w:type="dxa" w:w="3515"/>
            <w:shd w:val="clear" w:color="auto" w:fill="F2F5FA"/>
          </w:tcPr>
          <w:p>
            <w:pPr>
              <w:spacing w:after="20" w:before="20"/>
            </w:pPr>
            <w:r/>
            <w:r>
              <w:rPr>
                <w:sz w:val="16"/>
              </w:rPr>
              <w:t>Four levers bring the midpoint to ~203M to 213M with the reserve; four requests settle most of the band; tranche release</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Galvanics permitting</w:t>
            </w:r>
          </w:p>
        </w:tc>
        <w:tc>
          <w:tcPr>
            <w:tcW w:type="dxa" w:w="2948"/>
          </w:tcPr>
          <w:p>
            <w:pPr>
              <w:spacing w:after="20" w:before="20"/>
            </w:pPr>
            <w:r/>
            <w:r>
              <w:rPr>
                <w:sz w:val="16"/>
              </w:rPr>
              <w:t>Effluent and hazardous-substance permitting are the most likely regulatory friction, now in the first factory licence</w:t>
            </w:r>
          </w:p>
        </w:tc>
        <w:tc>
          <w:tcPr>
            <w:tcW w:type="dxa" w:w="3515"/>
          </w:tcPr>
          <w:p>
            <w:pPr>
              <w:spacing w:after="20" w:before="20"/>
            </w:pPr>
            <w:r/>
            <w:r>
              <w:rPr>
                <w:sz w:val="16"/>
              </w:rPr>
              <w:t>Zero-discharge design and the water-treatment building from the start; industrial estate option; lessor's consent on Payap land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Utilities fuel choice open</w:t>
            </w:r>
          </w:p>
        </w:tc>
        <w:tc>
          <w:tcPr>
            <w:tcW w:type="dxa" w:w="2948"/>
            <w:shd w:val="clear" w:color="auto" w:fill="F2F5FA"/>
          </w:tcPr>
          <w:p>
            <w:pPr>
              <w:spacing w:after="20" w:before="20"/>
            </w:pPr>
            <w:r/>
            <w:r>
              <w:rPr>
                <w:sz w:val="16"/>
              </w:rPr>
              <w:t>Biomass heat costs a quarter to a tenth of electric steam at reported fuel prices; electric steam needs a larger grid connection, biomass a secured fuel supply</w:t>
            </w:r>
          </w:p>
        </w:tc>
        <w:tc>
          <w:tcPr>
            <w:tcW w:type="dxa" w:w="3515"/>
            <w:shd w:val="clear" w:color="auto" w:fill="F2F5FA"/>
          </w:tcPr>
          <w:p>
            <w:pPr>
              <w:spacing w:after="20" w:before="20"/>
            </w:pPr>
            <w:r/>
            <w:r>
              <w:rPr>
                <w:sz w:val="16"/>
              </w:rPr>
              <w:t>Decide before the boiler request and the grid application; quote electric and fired variants of the same modules</w:t>
            </w:r>
          </w:p>
        </w:tc>
      </w:tr>
      <w:tr>
        <w:trPr>
          <w:cantSplit/>
        </w:trPr>
        <w:tc>
          <w:tcPr>
            <w:tcW w:type="dxa" w:w="907"/>
          </w:tcPr>
          <w:p>
            <w:pPr>
              <w:spacing w:after="20" w:before="20"/>
            </w:pPr>
            <w:r/>
            <w:r>
              <w:rPr>
                <w:sz w:val="16"/>
              </w:rPr>
              <w:t>Medium</w:t>
            </w:r>
          </w:p>
        </w:tc>
        <w:tc>
          <w:tcPr>
            <w:tcW w:type="dxa" w:w="2268"/>
          </w:tcPr>
          <w:p>
            <w:pPr>
              <w:spacing w:after="20" w:before="20"/>
            </w:pPr>
            <w:r/>
            <w:r>
              <w:rPr>
                <w:sz w:val="16"/>
              </w:rPr>
              <w:t>Boiler import compliance (DIW)</w:t>
            </w:r>
          </w:p>
        </w:tc>
        <w:tc>
          <w:tcPr>
            <w:tcW w:type="dxa" w:w="2948"/>
          </w:tcPr>
          <w:p>
            <w:pPr>
              <w:spacing w:after="20" w:before="20"/>
            </w:pPr>
            <w:r/>
            <w:r>
              <w:rPr>
                <w:sz w:val="16"/>
              </w:rPr>
              <w:t>An imported boiler must meet ASME, JIS, EN or equivalent and be verified by a DIW-registered certification body; the modules run above the once-through relief</w:t>
            </w:r>
          </w:p>
        </w:tc>
        <w:tc>
          <w:tcPr>
            <w:tcW w:type="dxa" w:w="3515"/>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Single press vendor (Newbilt)</w:t>
            </w:r>
          </w:p>
        </w:tc>
        <w:tc>
          <w:tcPr>
            <w:tcW w:type="dxa" w:w="2948"/>
            <w:shd w:val="clear" w:color="auto" w:fill="F2F5FA"/>
          </w:tcPr>
          <w:p>
            <w:pPr>
              <w:spacing w:after="20" w:before="20"/>
            </w:pPr>
            <w:r/>
            <w:r>
              <w:rPr>
                <w:sz w:val="16"/>
              </w:rPr>
              <w:t>All three presses, the extruders and the hydraulic aggregates come from one small German manufacturer; build time and order book unknown</w:t>
            </w:r>
          </w:p>
        </w:tc>
        <w:tc>
          <w:tcPr>
            <w:tcW w:type="dxa" w:w="3515"/>
            <w:shd w:val="clear" w:color="auto" w:fill="F2F5FA"/>
          </w:tcPr>
          <w:p>
            <w:pPr>
              <w:spacing w:after="20" w:before="20"/>
            </w:pPr>
            <w:r/>
            <w:r>
              <w:rPr>
                <w:sz w:val="16"/>
              </w:rPr>
              <w:t>Spares and service terms in the re-quote; the Pheenix automatic press stays the comparison if the Classic quote disappoints</w:t>
            </w:r>
          </w:p>
        </w:tc>
      </w:tr>
      <w:tr>
        <w:trPr>
          <w:cantSplit/>
        </w:trPr>
        <w:tc>
          <w:tcPr>
            <w:tcW w:type="dxa" w:w="907"/>
          </w:tcPr>
          <w:p>
            <w:pPr>
              <w:spacing w:after="20" w:before="20"/>
            </w:pPr>
            <w:r/>
            <w:r>
              <w:rPr>
                <w:sz w:val="16"/>
              </w:rPr>
              <w:t>Medium</w:t>
            </w:r>
          </w:p>
        </w:tc>
        <w:tc>
          <w:tcPr>
            <w:tcW w:type="dxa" w:w="2268"/>
          </w:tcPr>
          <w:p>
            <w:pPr>
              <w:spacing w:after="20" w:before="20"/>
            </w:pPr>
            <w:r/>
            <w:r>
              <w:rPr>
                <w:sz w:val="16"/>
              </w:rPr>
              <w:t>Hydraulic ring-main contamination</w:t>
            </w:r>
          </w:p>
        </w:tc>
        <w:tc>
          <w:tcPr>
            <w:tcW w:type="dxa" w:w="2948"/>
          </w:tcPr>
          <w:p>
            <w:pPr>
              <w:spacing w:after="20" w:before="20"/>
            </w:pPr>
            <w:r/>
            <w:r>
              <w:rPr>
                <w:sz w:val="16"/>
              </w:rPr>
              <w:t>One shared oil system: a contamination event reaches every press</w:t>
            </w:r>
          </w:p>
        </w:tc>
        <w:tc>
          <w:tcPr>
            <w:tcW w:type="dxa" w:w="3515"/>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Currency</w:t>
            </w:r>
          </w:p>
        </w:tc>
        <w:tc>
          <w:tcPr>
            <w:tcW w:type="dxa" w:w="2948"/>
            <w:shd w:val="clear" w:color="auto" w:fill="F2F5FA"/>
          </w:tcPr>
          <w:p>
            <w:pPr>
              <w:spacing w:after="20" w:before="20"/>
            </w:pPr>
            <w:r/>
            <w:r>
              <w:rPr>
                <w:sz w:val="16"/>
              </w:rPr>
              <w:t>EUR on Newbilt and Pheenix, USD on Sibert and Sillitoe, THB costs, USD/EUR revenue; a 10 % baht move is worth 0.09 to 0.17 USD per record on margin</w:t>
            </w:r>
          </w:p>
        </w:tc>
        <w:tc>
          <w:tcPr>
            <w:tcW w:type="dxa" w:w="3515"/>
            <w:shd w:val="clear" w:color="auto" w:fill="F2F5FA"/>
          </w:tcPr>
          <w:p>
            <w:pPr>
              <w:spacing w:after="20" w:before="20"/>
            </w:pPr>
            <w:r/>
            <w:r>
              <w:rPr>
                <w:sz w:val="16"/>
              </w:rPr>
              <w:t>Currency and validity in every quote; THB pricing regionally; hedging decision with the investor</w:t>
            </w:r>
          </w:p>
        </w:tc>
      </w:tr>
      <w:tr>
        <w:trPr>
          <w:cantSplit/>
        </w:trPr>
        <w:tc>
          <w:tcPr>
            <w:tcW w:type="dxa" w:w="907"/>
          </w:tcPr>
          <w:p>
            <w:pPr>
              <w:spacing w:after="20" w:before="20"/>
            </w:pPr>
            <w:r/>
            <w:r>
              <w:rPr>
                <w:sz w:val="16"/>
              </w:rPr>
              <w:t>Medium</w:t>
            </w:r>
          </w:p>
        </w:tc>
        <w:tc>
          <w:tcPr>
            <w:tcW w:type="dxa" w:w="2268"/>
          </w:tcPr>
          <w:p>
            <w:pPr>
              <w:spacing w:after="20" w:before="20"/>
            </w:pPr>
            <w:r/>
            <w:r>
              <w:rPr>
                <w:sz w:val="16"/>
              </w:rPr>
              <w:t>Vinyl demand is cyclical</w:t>
            </w:r>
          </w:p>
        </w:tc>
        <w:tc>
          <w:tcPr>
            <w:tcW w:type="dxa" w:w="2948"/>
          </w:tcPr>
          <w:p>
            <w:pPr>
              <w:spacing w:after="20" w:before="20"/>
            </w:pPr>
            <w:r/>
            <w:r>
              <w:rPr>
                <w:sz w:val="16"/>
              </w:rPr>
              <w:t>Global capacity has been added; the model assumes the plant sells what it presses</w:t>
            </w:r>
          </w:p>
        </w:tc>
        <w:tc>
          <w:tcPr>
            <w:tcW w:type="dxa" w:w="3515"/>
          </w:tcPr>
          <w:p>
            <w:pPr>
              <w:spacing w:after="20" w:before="20"/>
            </w:pPr>
            <w:r/>
            <w:r>
              <w:rPr>
                <w:sz w:val="16"/>
              </w:rPr>
              <w:t>Mixed fleet suits boutique work that is less cyclical; cassette and CD-R lines diversify; growth options wait for demand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Reject rate in early production</w:t>
            </w:r>
          </w:p>
        </w:tc>
        <w:tc>
          <w:tcPr>
            <w:tcW w:type="dxa" w:w="2948"/>
            <w:shd w:val="clear" w:color="auto" w:fill="F2F5FA"/>
          </w:tcPr>
          <w:p>
            <w:pPr>
              <w:spacing w:after="20" w:before="20"/>
            </w:pPr>
            <w:r/>
            <w:r>
              <w:rPr>
                <w:sz w:val="16"/>
              </w:rPr>
              <w:t>Early runs, and the first stampers from a new galvanics room, will be worse than the 5 to 10 % allowance while the process settles</w:t>
            </w:r>
          </w:p>
        </w:tc>
        <w:tc>
          <w:tcPr>
            <w:tcW w:type="dxa" w:w="3515"/>
            <w:shd w:val="clear" w:color="auto" w:fill="F2F5FA"/>
          </w:tcPr>
          <w:p>
            <w:pPr>
              <w:spacing w:after="20" w:before="20"/>
            </w:pPr>
            <w:r/>
            <w:r>
              <w:rPr>
                <w:sz w:val="16"/>
              </w:rPr>
              <w:t>Vendor commissioning, stamper metrology, materials lab from day one, QC layers, conservative launch promises; the ramp-up reserve</w:t>
            </w:r>
          </w:p>
        </w:tc>
      </w:tr>
      <w:tr>
        <w:trPr>
          <w:cantSplit/>
        </w:trPr>
        <w:tc>
          <w:tcPr>
            <w:tcW w:type="dxa" w:w="907"/>
          </w:tcPr>
          <w:p>
            <w:pPr>
              <w:spacing w:after="20" w:before="20"/>
            </w:pPr>
            <w:r/>
            <w:r>
              <w:rPr>
                <w:sz w:val="16"/>
              </w:rPr>
              <w:t>Medium</w:t>
            </w:r>
          </w:p>
        </w:tc>
        <w:tc>
          <w:tcPr>
            <w:tcW w:type="dxa" w:w="2268"/>
          </w:tcPr>
          <w:p>
            <w:pPr>
              <w:spacing w:after="20" w:before="20"/>
            </w:pPr>
            <w:r/>
            <w:r>
              <w:rPr>
                <w:sz w:val="16"/>
              </w:rPr>
              <w:t>Competitive response</w:t>
            </w:r>
          </w:p>
        </w:tc>
        <w:tc>
          <w:tcPr>
            <w:tcW w:type="dxa" w:w="2948"/>
          </w:tcPr>
          <w:p>
            <w:pPr>
              <w:spacing w:after="20" w:before="20"/>
            </w:pPr>
            <w:r/>
            <w:r>
              <w:rPr>
                <w:sz w:val="16"/>
              </w:rPr>
              <w:t>The incumbent may add plating, or a second entrant may appear; the domestic price ceiling may compress on our arrival</w:t>
            </w:r>
          </w:p>
        </w:tc>
        <w:tc>
          <w:tcPr>
            <w:tcW w:type="dxa" w:w="3515"/>
          </w:tcPr>
          <w:p>
            <w:pPr>
              <w:spacing w:after="20" w:before="20"/>
            </w:pPr>
            <w:r/>
            <w:r>
              <w:rPr>
                <w:sz w:val="16"/>
              </w:rPr>
              <w:t>Compete on capability (traceability, QC, climate), export customers, and the collaboration under discussion</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Solar and battery integration</w:t>
            </w:r>
          </w:p>
        </w:tc>
        <w:tc>
          <w:tcPr>
            <w:tcW w:type="dxa" w:w="2948"/>
            <w:shd w:val="clear" w:color="auto" w:fill="F2F5FA"/>
          </w:tcPr>
          <w:p>
            <w:pPr>
              <w:spacing w:after="20" w:before="20"/>
            </w:pPr>
            <w:r/>
            <w:r>
              <w:rPr>
                <w:sz w:val="16"/>
              </w:rPr>
              <w:t>Rack voltage vs inverter window; unpublished certifications; mixed-vendor warranty</w:t>
            </w:r>
          </w:p>
        </w:tc>
        <w:tc>
          <w:tcPr>
            <w:tcW w:type="dxa" w:w="3515"/>
            <w:shd w:val="clear" w:color="auto" w:fill="F2F5FA"/>
          </w:tcPr>
          <w:p>
            <w:pPr>
              <w:spacing w:after="20" w:before="20"/>
            </w:pPr>
            <w:r/>
            <w:r>
              <w:rPr>
                <w:sz w:val="16"/>
              </w:rPr>
              <w:t>Engineering checks and certificate requests in phase 0, or a PPA that moves it to the installer; large float</w:t>
            </w:r>
          </w:p>
        </w:tc>
      </w:tr>
      <w:tr>
        <w:trPr>
          <w:cantSplit/>
        </w:trPr>
        <w:tc>
          <w:tcPr>
            <w:tcW w:type="dxa" w:w="907"/>
          </w:tcPr>
          <w:p>
            <w:pPr>
              <w:spacing w:after="20" w:before="20"/>
            </w:pPr>
            <w:r/>
            <w:r>
              <w:rPr>
                <w:sz w:val="16"/>
              </w:rPr>
              <w:t>Low</w:t>
            </w:r>
          </w:p>
        </w:tc>
        <w:tc>
          <w:tcPr>
            <w:tcW w:type="dxa" w:w="2268"/>
          </w:tcPr>
          <w:p>
            <w:pPr>
              <w:spacing w:after="20" w:before="20"/>
            </w:pPr>
            <w:r/>
            <w:r>
              <w:rPr>
                <w:sz w:val="16"/>
              </w:rPr>
              <w:t>Cassette supply chain</w:t>
            </w:r>
          </w:p>
        </w:tc>
        <w:tc>
          <w:tcPr>
            <w:tcW w:type="dxa" w:w="2948"/>
          </w:tcPr>
          <w:p>
            <w:pPr>
              <w:spacing w:after="20" w:before="20"/>
            </w:pPr>
            <w:r/>
            <w:r>
              <w:rPr>
                <w:sz w:val="16"/>
              </w:rPr>
              <w:t>Blank tape and shells come from few suppliers</w:t>
            </w:r>
          </w:p>
        </w:tc>
        <w:tc>
          <w:tcPr>
            <w:tcW w:type="dxa" w:w="3515"/>
          </w:tcPr>
          <w:p>
            <w:pPr>
              <w:spacing w:after="20" w:before="20"/>
            </w:pPr>
            <w:r/>
            <w:r>
              <w:rPr>
                <w:sz w:val="16"/>
              </w:rPr>
              <w:t>Hold stock; qualify two sources</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CD replication scope creep</w:t>
            </w:r>
          </w:p>
        </w:tc>
        <w:tc>
          <w:tcPr>
            <w:tcW w:type="dxa" w:w="2948"/>
            <w:shd w:val="clear" w:color="auto" w:fill="F2F5FA"/>
          </w:tcPr>
          <w:p>
            <w:pPr>
              <w:spacing w:after="20" w:before="20"/>
            </w:pPr>
            <w:r/>
            <w:r>
              <w:rPr>
                <w:sz w:val="16"/>
              </w:rPr>
              <w:t>Adds USD 1.5M to 4.0M and a second commissioning programme</w:t>
            </w:r>
          </w:p>
        </w:tc>
        <w:tc>
          <w:tcPr>
            <w:tcW w:type="dxa" w:w="3515"/>
            <w:shd w:val="clear" w:color="auto" w:fill="F2F5FA"/>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3.50 to 4.60 USD blended price,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a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Largest unpriced block</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compressors from Kaishan and Denair's Thai offices;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next to the purchase quote;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launch-plant total),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the launch plant at a </w:t>
            </w:r>
            <w:r>
              <w:rPr>
                <w:b/>
                <w:sz w:val="19"/>
              </w:rPr>
              <w:t>target of ~216M THB</w:t>
            </w:r>
            <w:r>
              <w:rPr>
                <w:sz w:val="19"/>
              </w:rPr>
              <w:t>, released in the tranches of section 8.3, with the financing mix set to hold debt-to-equity at or below 3:1. Told plainly: at the midpoint, 216M holds with the four levers and the ramp-up reserve inside it; 180M holds only if the open quotes land low, because even the levers plus scope cuts (cassette and CD-R later, a rented crane) leave ~185M before the reserve. Until the four requests are back, the honest range is ~161M to 292M THB.</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CD replication, yes or no, before the BOI application is finalised; the steam fuel (electric or biomass); which levers to take (solar PPA, metrology launch tier, visitor corridor later);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presses, estimate), further Classics, the rest of the metrology stack,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negotiated lease; a buyer-side price data point; the investor's CD and fuel decisions;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the investor's 180M THB question and the levers; the superseded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Press fleet calculator: target output and specials share to the Duplex/Classic mix, people, utilities and the operating picture</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0.2,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