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4590000"/>
            <wp:docPr id="1" name="Picture 1"/>
            <wp:cNvGraphicFramePr>
              <a:graphicFrameLocks noChangeAspect="1"/>
            </wp:cNvGraphicFramePr>
            <a:graphic>
              <a:graphicData uri="http://schemas.openxmlformats.org/drawingml/2006/picture">
                <pic:pic>
                  <pic:nvPicPr>
                    <pic:cNvPr id="0" name="aerial-hero.png"/>
                    <pic:cNvPicPr/>
                  </pic:nvPicPr>
                  <pic:blipFill>
                    <a:blip r:embed="rId11"/>
                    <a:stretch>
                      <a:fillRect/>
                    </a:stretch>
                  </pic:blipFill>
                  <pic:spPr>
                    <a:xfrm>
                      <a:off x="0" y="0"/>
                      <a:ext cx="6120000" cy="4590000"/>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0.2, October 2026</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Draft 0.2 replaces draft 0.1 (September 2026): the plant now launches with the whole chain, cutting and galvanics included, in one capital round.</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draft 0.1.</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Every section below is written for that plant.</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Together about 0.71 to 0.97 million records a year on two shifts (estimate). A second Duplex system is a growth option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boiler modules and two 250 kW chiller modules installed at launch; further presses add modules, not rooms. The steam fuel (electric or biomass) is still open.</w:t>
      </w:r>
    </w:p>
    <w:p>
      <w:pPr>
        <w:pStyle w:val="ListBullet"/>
      </w:pPr>
      <w:r>
        <w:rPr>
          <w:b/>
        </w:rPr>
        <w:t>Cassette duplication and CD-R duplication in-house</w:t>
      </w:r>
      <w:r>
        <w:rPr/>
        <w:t xml:space="preserve"> from launch.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rooftop solar and room for a second building.</w:t>
      </w:r>
    </w:p>
    <w:p>
      <w:pPr>
        <w:pStyle w:val="ListBullet"/>
      </w:pPr>
      <w:r>
        <w:rPr>
          <w:b/>
        </w:rPr>
        <w:t>Commissioned in sequence:</w:t>
      </w:r>
      <w:r>
        <w:rPr/>
        <w:t xml:space="preserve"> the cutting room and galvanics first (the presses need their stampers), then the Duplex system, then the Classic. That puts galvanics, the hardest skill to hire, on the path to the first paying release. Sibert, the stamper-prep supplier in the plan, advised after the Haarlem trade show to get presses, boilers, operators and feedback loops right first; the launch plant was decided anyway, and that advice is carried as a risk (sections 11.2 and 13).</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current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if the boiler is fired, as much condensate back to the feed tank as possible, then a heat pump that lifts the presses' ~60 °C cooling return into boiler feedwater. The main roof carries </w:t>
      </w:r>
      <w:r>
        <w:rPr>
          <w:b/>
        </w:rPr>
        <w:t>~247 kWp</w:t>
      </w:r>
      <w:r>
        <w:rPr/>
        <w:t xml:space="preserve"> of solar (about 335 to 360 MWh a year, a quarter to a third of mature two-shift use; a second building's roof would take the total to ~498 kWp), with a 271 kWh battery for ride-through.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the fuel choice is open.</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Launch plant ~0.71M to 0.97M records/yr (2 semi-automatic presses + 1 Classic, 2 shifts; estimate; the press fleet calculator gives ~0.94M at our planning rates). Second Duplex as growth option: ~1.0M to 1.5M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launch plant</w:t>
            </w:r>
          </w:p>
        </w:tc>
        <w:tc>
          <w:tcPr>
            <w:tcW w:type="dxa" w:w="6520"/>
          </w:tcPr>
          <w:p>
            <w:pPr>
              <w:spacing w:after="20" w:before="20"/>
            </w:pPr>
            <w:r/>
            <w:r>
              <w:rPr>
                <w:sz w:val="19"/>
              </w:rPr>
              <w:t>~USD 4.9M to 8.9M (~THB 161M to 292M) including 15% contingency, midpoint ~USD 6.9M (~THB 227M). Not in it: a ramp-up reserve of ~THB 10M to 20M, CD replication, financing costs, the central hydraulic plant (not yet costed)</w:t>
            </w:r>
          </w:p>
        </w:tc>
      </w:tr>
      <w:tr>
        <w:trPr>
          <w:cantSplit/>
        </w:trPr>
        <w:tc>
          <w:tcPr>
            <w:tcW w:type="dxa" w:w="2835"/>
            <w:shd w:val="clear" w:color="auto" w:fill="F2F5FA"/>
          </w:tcPr>
          <w:p>
            <w:pPr>
              <w:spacing w:after="20" w:before="20"/>
            </w:pPr>
            <w:r>
              <w:rPr>
                <w:b/>
              </w:rPr>
            </w:r>
            <w:r>
              <w:rPr>
                <w:b/>
                <w:sz w:val="19"/>
              </w:rPr>
              <w:t>The investor's 180M THB question</w:t>
            </w:r>
          </w:p>
        </w:tc>
        <w:tc>
          <w:tcPr>
            <w:tcW w:type="dxa" w:w="6520"/>
          </w:tcPr>
          <w:p>
            <w:pPr>
              <w:spacing w:after="20" w:before="20"/>
            </w:pPr>
            <w:r/>
            <w:r>
              <w:rPr>
                <w:b/>
                <w:sz w:val="19"/>
              </w:rPr>
              <w:t>216M THB is a realistic target</w:t>
            </w:r>
            <w:r>
              <w:rPr>
                <w:sz w:val="19"/>
              </w:rPr>
              <w:t xml:space="preserve"> for the full equipment list with four levers that keep every machine (~203M to 213M with the ramp-up reserve); </w:t>
            </w:r>
            <w:r>
              <w:rPr>
                <w:b/>
                <w:sz w:val="19"/>
              </w:rPr>
              <w:t>180M holds only if the open quotes land low</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revenue ~USD 3.75M (~THB 124M), EBITDA ~USD 1.63M (~THB 54M), operating profit ~USD 1.11M (~THB 37M), payback ~4 years (3.0 to 5.5 on the 4.9M to 8.9M band); break-even on operating profit at ~0.3M records a year. </w:t>
            </w:r>
            <w:r>
              <w:rPr>
                <w:b/>
                <w:sz w:val="19"/>
              </w:rPr>
              <w:t>The adverse case loses money:</w:t>
            </w:r>
            <w:r>
              <w:rPr>
                <w:sz w:val="19"/>
              </w:rPr>
              <w:t xml:space="preserve"> EBITDA ~USD 0.22M, operating loss ~USD 0.67M (~THB 22M). Utilisation and price decide the outcome, not upside (section 9)</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bl>
    <w:p>
      <w:pPr>
        <w:spacing w:after="40"/>
      </w:pP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and the Classic, a Pheenix quote for the galvanics line, the building price request with the soil test, and metrology distributor quotes.</w:t>
            </w:r>
          </w:p>
          <w:p>
            <w:pPr>
              <w:spacing w:after="60"/>
              <w:ind w:left="227"/>
            </w:pPr>
            <w:r>
              <w:rPr>
                <w:sz w:val="20"/>
              </w:rPr>
              <w:t xml:space="preserve">•  </w:t>
            </w:r>
            <w:r>
              <w:rPr>
                <w:b/>
                <w:sz w:val="20"/>
              </w:rPr>
              <w:t>Then the launch plant round, targeted at ~THB 216M (~USD 6.55M)</w:t>
            </w:r>
            <w:r>
              <w:rPr>
                <w:sz w:val="20"/>
              </w:rPr>
              <w:t>, released in tranches against milestones: BOI certificate and lease signed, long-lead orders (lathe, galvanics, stamper prep, presses, first boiler and chiller modules), building contract, fit-out, commissioning in sequence (section 8.3). The full estimate band is THB 161M to 292M; section 8.2 shows the levers that bring the midpoint inside 216M.</w:t>
            </w:r>
          </w:p>
          <w:p>
            <w:pPr>
              <w:spacing w:after="60"/>
              <w:ind w:left="227"/>
            </w:pPr>
            <w:r>
              <w:rPr>
                <w:sz w:val="20"/>
              </w:rPr>
              <w:t xml:space="preserve">•  </w:t>
            </w:r>
            <w:r>
              <w:rPr>
                <w:b/>
                <w:sz w:val="20"/>
              </w:rPr>
              <w:t>Decisions needed from the investor:</w:t>
            </w:r>
            <w:r>
              <w:rPr>
                <w:sz w:val="20"/>
              </w:rPr>
              <w:t xml:space="preserve"> the equity/debt mix (BOI requires debt-to-equity of at most 3:1); CD replication, yes or no (it must be in the BOI application from the start); the steam fuel, electric or biomass; and which budget levers to take (solar through a PPA, metrology bought in two steps, the visitor corridor later).</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and the Newbilt Classic (no price on file); the cutting room beyond the lathe; metrology stack; land lease;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3.50 to 4.60 blended (115 to 150 THB).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cassette and CD-R duplication are in the launch plant.</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Launch plant,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Launch plant,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Launch plant,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Launch plant;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boilers and 2 x 250 kW chillers; heat recovery designed in</w:t>
            </w:r>
          </w:p>
        </w:tc>
        <w:tc>
          <w:tcPr>
            <w:tcW w:type="dxa" w:w="1701"/>
          </w:tcPr>
          <w:p>
            <w:pPr>
              <w:spacing w:after="20" w:before="20"/>
            </w:pPr>
            <w:r/>
            <w:r>
              <w:rPr>
                <w:sz w:val="17"/>
              </w:rPr>
              <w:t>Launch plant;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Launch plant (confocal and profiler can follow from revenue)</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Launch plant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Launch plant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Launch plant</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BOI tax value</w:t>
            </w:r>
          </w:p>
        </w:tc>
        <w:tc>
          <w:tcPr>
            <w:tcW w:type="dxa" w:w="3118"/>
          </w:tcPr>
          <w:p>
            <w:pPr>
              <w:spacing w:after="20" w:before="20"/>
            </w:pPr>
            <w:r/>
            <w:r>
              <w:rPr>
                <w:sz w:val="17"/>
              </w:rPr>
              <w:t>~247 kWp roof PV, 271 kWh battery, closed cooling loop, zero process discharge</w:t>
            </w:r>
          </w:p>
        </w:tc>
        <w:tc>
          <w:tcPr>
            <w:tcW w:type="dxa" w:w="1701"/>
          </w:tcPr>
          <w:p>
            <w:pPr>
              <w:spacing w:after="20" w:before="20"/>
            </w:pPr>
            <w:r/>
            <w:r>
              <w:rPr>
                <w:sz w:val="17"/>
              </w:rPr>
              <w:t>Launch plant (PV possibly through a solar PPA)</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Launch plant;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Launch plant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launch plant,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for the larger five-press fleet.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Estimated USD 320k to 650k (THB 10.6M to 21.4M) for the Pheenix line, with no Pheenix price on file; OMS's reference prices sit at the low end, and pricing near them is one of the four budget levers.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boiler modules and two 250 kW chiller modules</w:t>
      </w:r>
      <w:r>
        <w:rPr/>
        <w:t>, in a boiler hall and an open chiller compound built for four modules each; a second Duplex adds a third chiller module, and the fourth positions are reserve and growth.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~0.71 to 0.97 million records</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Expansion option</w:t>
            </w:r>
          </w:p>
        </w:tc>
        <w:tc>
          <w:tcPr>
            <w:tcW w:type="dxa" w:w="4535"/>
          </w:tcPr>
          <w:p>
            <w:pPr>
              <w:spacing w:after="20" w:before="20"/>
            </w:pPr>
            <w:r/>
            <w:r>
              <w:rPr>
                <w:sz w:val="18"/>
              </w:rPr>
              <w:t>The five-press fleet plus up to ten more Classics; a utility phase of its own</w:t>
            </w:r>
          </w:p>
        </w:tc>
        <w:tc>
          <w:tcPr>
            <w:tcW w:type="dxa" w:w="2835"/>
          </w:tcPr>
          <w:p>
            <w:pPr>
              <w:spacing w:after="20" w:before="20"/>
            </w:pPr>
            <w:r/>
            <w:r>
              <w:rPr>
                <w:sz w:val="18"/>
              </w:rPr>
              <w:t>~4.7 to 5.8 million records (estimate)</w:t>
            </w:r>
          </w:p>
        </w:tc>
      </w:tr>
    </w:tbl>
    <w:p>
      <w:pPr>
        <w:spacing w:before="40" w:after="160"/>
      </w:pPr>
      <w:r>
        <w:rPr>
          <w:i/>
          <w:color w:val="595959"/>
          <w:sz w:val="17"/>
        </w:rPr>
        <w:t>Basis: semi-automatic 60 to 80 records/h assumed; Classic ~128/h (vendor flyer); 16 h/day, 300 days/yr, 60 to 70% overall equipment effectiveness. The launch plant is 248 to 288 records/h at nameplate, ~149 to 202/h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in the launch plant, starting at tier A or a small tier B; cassette and CD-R together are one estimated block of USD 55k to 190k in the investment; schedule-neutral; fits inside the building programme; the activity goes into the BOI application. Moving both later is one of the scope cuts that would be needed to approach 180M THB.</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Option A: CD-R duplication</w:t>
            </w:r>
          </w:p>
        </w:tc>
        <w:tc>
          <w:tcPr>
            <w:tcW w:type="dxa" w:w="4422"/>
            <w:shd w:val="clear" w:color="auto" w:fill="1F3864"/>
          </w:tcPr>
          <w:p>
            <w:pPr>
              <w:spacing w:after="20" w:before="20"/>
            </w:pPr>
            <w:r>
              <w:rPr>
                <w:b/>
              </w:rPr>
            </w:r>
            <w:r>
              <w:rPr>
                <w:b/>
                <w:color w:val="FFFFFF"/>
                <w:sz w:val="17"/>
              </w:rPr>
              <w:t>Option B: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Option B figures are order-of-magnitude and would need a dedicated feasibility study.</w:t>
      </w:r>
    </w:p>
    <w:p>
      <w:r>
        <w:rPr>
          <w:b/>
        </w:rPr>
        <w:t>Recommendation.</w:t>
      </w:r>
      <w:r>
        <w:rPr/>
        <w:t xml:space="preserve"> Option A is in the launch plant: it is cheap, schedule-neutral, and serves the plant's customers. Treat Option B as a separate project with its own market study, because CD replication is a mature, competitive, declining business outside Asia's strongholds and would add USD 1.5M to 4.0M and a second building to a plan whose vinyl economics do not depend on it. If the investor wants Option B, the decision must be taken before the BOI application is filed (section 7), and the second building should be designed for it. This plan's totals include Option A only; Option B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launch plant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Launch tier</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Launch tier</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Full stack; from revenue if the lever is used</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Full stack; from revenue if the lever is used</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the investor's choice</w:t>
            </w:r>
          </w:p>
          <w:p>
            <w:pPr>
              <w:spacing w:after="60"/>
              <w:ind w:left="227"/>
            </w:pPr>
            <w:r>
              <w:rPr>
                <w:sz w:val="20"/>
              </w:rPr>
              <w:t xml:space="preserve">•  </w:t>
            </w:r>
            <w:r>
              <w:rPr>
                <w:b/>
                <w:sz w:val="20"/>
              </w:rPr>
              <w:t>Full stack at launch.</w:t>
            </w:r>
            <w:r>
              <w:rPr>
                <w:sz w:val="20"/>
              </w:rPr>
              <w:t xml:space="preserve"> The metrology and QC block is USD 350k to 810k (11.6M to 26.7M THB, estimate, section 8): XRF, laser confocal, wide-area profiler, inline vision on the three presses and the audio station. Every father, mother and stamper is measured before the next plating generation or the press.</w:t>
            </w:r>
          </w:p>
          <w:p>
            <w:pPr>
              <w:spacing w:after="60"/>
              <w:ind w:left="227"/>
            </w:pPr>
            <w:r>
              <w:rPr>
                <w:sz w:val="20"/>
              </w:rPr>
              <w:t xml:space="preserve">•  </w:t>
            </w:r>
            <w:r>
              <w:rPr>
                <w:b/>
                <w:sz w:val="20"/>
              </w:rPr>
              <w:t>Launch tier.</w:t>
            </w:r>
            <w:r>
              <w:rPr>
                <w:sz w:val="20"/>
              </w:rPr>
              <w:t xml:space="preserve"> XRF, inline vision and the audio station at launch; the laser confocal and the wide-area profiler bought from revenue. That saves ~10.1M THB at the midpoint with its share of the contingency, one of the four levers that bring the plant inside 216M THB. Until they arrive, groove geometry on the metal is judged indirectly, through the test pressing and the audio station, as most plants do today; thickness and cosmetics are still measured on every part.</w:t>
            </w:r>
          </w:p>
          <w:p>
            <w:pPr>
              <w:spacing w:after="60"/>
              <w:ind w:left="227"/>
            </w:pPr>
            <w:r>
              <w:rPr>
                <w:sz w:val="20"/>
              </w:rPr>
              <w:t>•  Either way the data path is the same, so the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in the launch tier</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about 390 kW of cooling at a hot-afternoon peak; the utility backbone is built for the five-press fleet (750 to 900 kg/h of steam, up to ~650 kW of cooling).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a fired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boilers (B-1, B-2) and two 250 kW air-cooled chillers rated at 40 °C ambient (CH-1, CH-2), sequenced lead and lag by one controller.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a biomass or LPG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without electric steam, that is roughly 4.5M to 6.8M THB a year before solar, 0.7M to 1.1M of it demand charge (estimates), on an 800 to 1,000 kVA connection. Three design consequences:</w:t>
      </w:r>
    </w:p>
    <w:p>
      <w:pPr>
        <w:pStyle w:val="ListBullet"/>
      </w:pPr>
      <w:r>
        <w:rPr>
          <w:b/>
        </w:rPr>
        <w:t>Biomass heat is far cheaper than electric steam</w:t>
      </w:r>
      <w:r>
        <w:rPr/>
        <w:t xml:space="preserve"> (below): the demand charge follows the boiler's full-power draw, and the peak window covers 13 of the 16 production hours.</w:t>
      </w:r>
    </w:p>
    <w:p>
      <w:pPr>
        <w:pStyle w:val="ListBullet"/>
      </w:pPr>
      <w:r>
        <w:rPr>
          <w:b/>
        </w:rPr>
        <w:t>The roof gets PV, not solar thermal.</w:t>
      </w:r>
      <w:r>
        <w:rPr/>
        <w:t xml:space="preserve"> Self-consumed PV is worth ~3.7 THB/kWh; it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Rooftop PV</w:t>
            </w:r>
          </w:p>
        </w:tc>
        <w:tc>
          <w:tcPr>
            <w:tcW w:type="dxa" w:w="6520"/>
          </w:tcPr>
          <w:p>
            <w:pPr>
              <w:spacing w:after="20" w:before="20"/>
            </w:pPr>
            <w:r/>
            <w:r>
              <w:rPr>
                <w:sz w:val="19"/>
              </w:rPr>
              <w:t>~247 kWp on the 1,523 m² monopitch roof (425 modules of a generic 580 W placeholder; no module chosen yet), ~335 to 360 MWh a year, ~25 to 35% of mature two-shift use (1,000 to 1,500 MWh). Saves ~1.2M to 1.3M THB a year and pays back in ~4.5 to 7 years at 25,000 to 35,000 THB/kWp (estimates)</w:t>
            </w:r>
          </w:p>
        </w:tc>
      </w:tr>
      <w:tr>
        <w:trPr>
          <w:cantSplit/>
        </w:trPr>
        <w:tc>
          <w:tcPr>
            <w:tcW w:type="dxa" w:w="2835"/>
            <w:shd w:val="clear" w:color="auto" w:fill="F2F5FA"/>
          </w:tcPr>
          <w:p>
            <w:pPr>
              <w:spacing w:after="20" w:before="20"/>
            </w:pPr>
            <w:r>
              <w:rPr>
                <w:b/>
              </w:rPr>
            </w:r>
            <w:r>
              <w:rPr>
                <w:b/>
                <w:sz w:val="19"/>
              </w:rPr>
              <w:t>Canopies and the second building</w:t>
            </w:r>
          </w:p>
        </w:tc>
        <w:tc>
          <w:tcPr>
            <w:tcW w:type="dxa" w:w="6520"/>
          </w:tcPr>
          <w:p>
            <w:pPr>
              <w:spacing w:after="20" w:before="20"/>
            </w:pPr>
            <w:r/>
            <w:r>
              <w:rPr>
                <w:sz w:val="19"/>
              </w:rPr>
              <w:t>~40 kWp on the parking canopies (construction RFQ; ~54 kWp if fully covered). A phase 2 building's roof adds ~251 kWp, ~498 kWp across both roofs</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w:t>
            </w:r>
          </w:p>
        </w:tc>
      </w:tr>
      <w:tr>
        <w:trPr>
          <w:cantSplit/>
        </w:trPr>
        <w:tc>
          <w:tcPr>
            <w:tcW w:type="dxa" w:w="2835"/>
            <w:shd w:val="clear" w:color="auto" w:fill="F2F5FA"/>
          </w:tcPr>
          <w:p>
            <w:pPr>
              <w:spacing w:after="20" w:before="20"/>
            </w:pPr>
            <w:r>
              <w:rPr>
                <w:b/>
              </w:rPr>
            </w:r>
            <w:r>
              <w:rPr>
                <w:b/>
                <w:sz w:val="19"/>
              </w:rPr>
              <w:t>Solar PPA (option)</w:t>
            </w:r>
          </w:p>
        </w:tc>
        <w:tc>
          <w:tcPr>
            <w:tcW w:type="dxa" w:w="6520"/>
          </w:tcPr>
          <w:p>
            <w:pPr>
              <w:spacing w:after="20" w:before="20"/>
            </w:pPr>
            <w:r/>
            <w:r>
              <w:rPr>
                <w:sz w:val="19"/>
              </w:rPr>
              <w:t>Instead of buying the PV and battery, an EPC owns and finances them and the plant buys the power: ~12.3M THB less capital at the midpoint with its contingency share, one of the four levers in section 8. The PPA price is not quoted yet, and the BOI solar measure (section 7) rewards the plant's own solar investment, so its tax value probably goes with the array (to confirm with the BOI consultant)</w:t>
            </w:r>
          </w:p>
        </w:tc>
      </w:tr>
    </w:tbl>
    <w:p>
      <w:pPr>
        <w:spacing w:after="40"/>
      </w:pPr>
    </w:p>
    <w:p>
      <w:pPr>
        <w:pStyle w:val="Heading3"/>
      </w:pPr>
      <w:r>
        <w:t>Steam: the open engineering choice</w:t>
      </w:r>
    </w:p>
    <w:p>
      <w:r>
        <w:rPr/>
        <w:t>The boilers' fuel is still open; the modular bank works with either. There is no natural gas pipeline in Northern Thailand, so gas means a bulk LPG tank on site with hazardous-storage separation and licensing, and diesel means a fuel tank with price exposure. The two routes without a fossil tank, compared for the same heat (~1,120 to 1,280 MWh a year at about 1.0 million records, the top of the launch plant's range; estimates):</w:t>
      </w:r>
    </w:p>
    <w:tbl>
      <w:tblPr>
        <w:tblStyle w:val="TableGrid"/>
        <w:tblW w:type="auto" w:w="0"/>
        <w:jc w:val="center"/>
        <w:tblLayout w:type="fixed"/>
        <w:tblLook w:firstColumn="1" w:firstRow="1" w:lastColumn="0" w:lastRow="0" w:noHBand="0" w:noVBand="1" w:val="04A0"/>
      </w:tblPr>
      <w:tblGrid>
        <w:gridCol w:w="2041"/>
        <w:gridCol w:w="3628"/>
        <w:gridCol w:w="3969"/>
      </w:tblGrid>
      <w:tr>
        <w:trPr>
          <w:tblHeader w:val="true"/>
          <w:cantSplit/>
        </w:trPr>
        <w:tc>
          <w:tcPr>
            <w:tcW w:type="dxa" w:w="204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Electric boiler bank (~98%)</w:t>
            </w:r>
          </w:p>
        </w:tc>
        <w:tc>
          <w:tcPr>
            <w:tcW w:type="dxa" w:w="3969"/>
            <w:shd w:val="clear" w:color="auto" w:fill="1F3864"/>
          </w:tcPr>
          <w:p>
            <w:pPr>
              <w:spacing w:after="20" w:before="20"/>
            </w:pPr>
            <w:r>
              <w:rPr>
                <w:b/>
              </w:rPr>
            </w:r>
            <w:r>
              <w:rPr>
                <w:b/>
                <w:color w:val="FFFFFF"/>
                <w:sz w:val="17"/>
              </w:rPr>
              <w:t>Biomass boiler bank (~80%)</w:t>
            </w:r>
          </w:p>
        </w:tc>
      </w:tr>
      <w:tr>
        <w:trPr>
          <w:cantSplit/>
        </w:trPr>
        <w:tc>
          <w:tcPr>
            <w:tcW w:type="dxa" w:w="2041"/>
          </w:tcPr>
          <w:p>
            <w:pPr>
              <w:spacing w:after="20" w:before="20"/>
            </w:pPr>
            <w:r/>
            <w:r>
              <w:rPr>
                <w:sz w:val="17"/>
              </w:rPr>
              <w:t>Price of heat</w:t>
            </w:r>
          </w:p>
        </w:tc>
        <w:tc>
          <w:tcPr>
            <w:tcW w:type="dxa" w:w="3628"/>
          </w:tcPr>
          <w:p>
            <w:pPr>
              <w:spacing w:after="20" w:before="20"/>
            </w:pPr>
            <w:r/>
            <w:r>
              <w:rPr>
                <w:sz w:val="17"/>
              </w:rPr>
              <w:t>~3.9 THB/kWh, plus the demand charge</w:t>
            </w:r>
          </w:p>
        </w:tc>
        <w:tc>
          <w:tcPr>
            <w:tcW w:type="dxa" w:w="3969"/>
          </w:tcPr>
          <w:p>
            <w:pPr>
              <w:spacing w:after="20" w:before="20"/>
            </w:pPr>
            <w:r/>
            <w:r>
              <w:rPr>
                <w:sz w:val="17"/>
              </w:rPr>
              <w:t>~0.5 to 0.9 THB/kWh at 1.35 to 2 THB/kg delivered (reported market prices, October 2026; no supplier quote yet)</w:t>
            </w:r>
          </w:p>
        </w:tc>
      </w:tr>
      <w:tr>
        <w:trPr>
          <w:cantSplit/>
        </w:trPr>
        <w:tc>
          <w:tcPr>
            <w:tcW w:type="dxa" w:w="2041"/>
            <w:shd w:val="clear" w:color="auto" w:fill="F2F5FA"/>
          </w:tcPr>
          <w:p>
            <w:pPr>
              <w:spacing w:after="20" w:before="20"/>
            </w:pPr>
            <w:r/>
            <w:r>
              <w:rPr>
                <w:sz w:val="17"/>
              </w:rPr>
              <w:t>Running cost, mature two shifts</w:t>
            </w:r>
          </w:p>
        </w:tc>
        <w:tc>
          <w:tcPr>
            <w:tcW w:type="dxa" w:w="3628"/>
            <w:shd w:val="clear" w:color="auto" w:fill="F2F5FA"/>
          </w:tcPr>
          <w:p>
            <w:pPr>
              <w:spacing w:after="20" w:before="20"/>
            </w:pPr>
            <w:r/>
            <w:r>
              <w:rPr>
                <w:sz w:val="17"/>
              </w:rPr>
              <w:t>~5.2M to 6.0M THB a year, including 0.8M to 1.0M of extra demand charge for the five-press bank</w:t>
            </w:r>
          </w:p>
        </w:tc>
        <w:tc>
          <w:tcPr>
            <w:tcW w:type="dxa" w:w="3969"/>
            <w:shd w:val="clear" w:color="auto" w:fill="F2F5FA"/>
          </w:tcPr>
          <w:p>
            <w:pPr>
              <w:spacing w:after="20" w:before="20"/>
            </w:pPr>
            <w:r/>
            <w:r>
              <w:rPr>
                <w:sz w:val="17"/>
              </w:rPr>
              <w:t>~0.6M to 1.2M THB a year of fuel, plus handling and ash</w:t>
            </w:r>
          </w:p>
        </w:tc>
      </w:tr>
      <w:tr>
        <w:trPr>
          <w:cantSplit/>
        </w:trPr>
        <w:tc>
          <w:tcPr>
            <w:tcW w:type="dxa" w:w="2041"/>
          </w:tcPr>
          <w:p>
            <w:pPr>
              <w:spacing w:after="20" w:before="20"/>
            </w:pPr>
            <w:r/>
            <w:r>
              <w:rPr>
                <w:sz w:val="17"/>
              </w:rPr>
              <w:t>Boiler package, 2 × 500 kg/h</w:t>
            </w:r>
          </w:p>
        </w:tc>
        <w:tc>
          <w:tcPr>
            <w:tcW w:type="dxa" w:w="3628"/>
          </w:tcPr>
          <w:p>
            <w:pPr>
              <w:spacing w:after="20" w:before="20"/>
            </w:pPr>
            <w:r/>
            <w:r>
              <w:rPr>
                <w:sz w:val="17"/>
              </w:rPr>
              <w:t>4.5M to 7M THB (Thai suppliers); the investment's baseline</w:t>
            </w:r>
          </w:p>
        </w:tc>
        <w:tc>
          <w:tcPr>
            <w:tcW w:type="dxa" w:w="3969"/>
          </w:tcPr>
          <w:p>
            <w:pPr>
              <w:spacing w:after="20" w:before="20"/>
            </w:pPr>
            <w:r/>
            <w:r>
              <w:rPr>
                <w:sz w:val="17"/>
              </w:rPr>
              <w:t>~6M to 10M THB, plus the fuel store</w:t>
            </w:r>
          </w:p>
        </w:tc>
      </w:tr>
      <w:tr>
        <w:trPr>
          <w:cantSplit/>
        </w:trPr>
        <w:tc>
          <w:tcPr>
            <w:tcW w:type="dxa" w:w="2041"/>
            <w:shd w:val="clear" w:color="auto" w:fill="F2F5FA"/>
          </w:tcPr>
          <w:p>
            <w:pPr>
              <w:spacing w:after="20" w:before="20"/>
            </w:pPr>
            <w:r/>
            <w:r>
              <w:rPr>
                <w:sz w:val="17"/>
              </w:rPr>
              <w:t>Grid</w:t>
            </w:r>
          </w:p>
        </w:tc>
        <w:tc>
          <w:tcPr>
            <w:tcW w:type="dxa" w:w="3628"/>
            <w:shd w:val="clear" w:color="auto" w:fill="F2F5FA"/>
          </w:tcPr>
          <w:p>
            <w:pPr>
              <w:spacing w:after="20" w:before="20"/>
            </w:pPr>
            <w:r/>
            <w:r>
              <w:rPr>
                <w:sz w:val="17"/>
              </w:rPr>
              <w:t>Peak ~950 to 1,330 kW: PEA Schedule 4, 1,250 to 1,600 kVA</w:t>
            </w:r>
          </w:p>
        </w:tc>
        <w:tc>
          <w:tcPr>
            <w:tcW w:type="dxa" w:w="3969"/>
            <w:shd w:val="clear" w:color="auto" w:fill="F2F5FA"/>
          </w:tcPr>
          <w:p>
            <w:pPr>
              <w:spacing w:after="20" w:before="20"/>
            </w:pPr>
            <w:r/>
            <w:r>
              <w:rPr>
                <w:sz w:val="17"/>
              </w:rPr>
              <w:t>Unchanged, ~800 to 1,000 kVA</w:t>
            </w:r>
          </w:p>
        </w:tc>
      </w:tr>
      <w:tr>
        <w:trPr>
          <w:cantSplit/>
        </w:trPr>
        <w:tc>
          <w:tcPr>
            <w:tcW w:type="dxa" w:w="2041"/>
          </w:tcPr>
          <w:p>
            <w:pPr>
              <w:spacing w:after="20" w:before="20"/>
            </w:pPr>
            <w:r/>
            <w:r>
              <w:rPr>
                <w:sz w:val="17"/>
              </w:rPr>
              <w:t>Also</w:t>
            </w:r>
          </w:p>
        </w:tc>
        <w:tc>
          <w:tcPr>
            <w:tcW w:type="dxa" w:w="3628"/>
          </w:tcPr>
          <w:p>
            <w:pPr>
              <w:spacing w:after="20" w:before="20"/>
            </w:pPr>
            <w:r/>
            <w:r>
              <w:rPr>
                <w:sz w:val="17"/>
              </w:rPr>
              <w:t>Cleanest permitting, no fuel logistics, no stack</w:t>
            </w:r>
          </w:p>
        </w:tc>
        <w:tc>
          <w:tcPr>
            <w:tcW w:type="dxa" w:w="3969"/>
          </w:tcPr>
          <w:p>
            <w:pPr>
              <w:spacing w:after="20" w:before="20"/>
            </w:pPr>
            <w:r/>
            <w:r>
              <w:rPr>
                <w:sz w:val="17"/>
              </w:rPr>
              <w:t>Fuel contracts, a dry store sized for the monsoon, ash handling, a 14 m stack and its emissions</w:t>
            </w:r>
          </w:p>
        </w:tc>
      </w:tr>
    </w:tbl>
    <w:p>
      <w:pPr>
        <w:spacing w:after="40"/>
      </w:pPr>
    </w:p>
    <w:p>
      <w:r>
        <w:rPr>
          <w:b/>
        </w:rPr>
        <w:t>Reading it.</w:t>
      </w:r>
      <w:r>
        <w:rPr/>
        <w:t xml:space="preserve"> The electric boiler is the more efficient machine; biomass is by far the cheaper heat. At maturity the fuel saving of ~4.0M to 5.4M THB a year repays the biomass premium in under a year (estimate), so the earlier staged path (start electric, add biomass later) is a permitting and fuel-logistics choice, not a cost one: every year on electric steam costs roughly 1.4M to 5.4M THB more. The site can decide it too: next to the pharmaceutical facility on Payap land a biomass stack would be a hard sell, which favours electric or LPG there (section 6.1).</w:t>
      </w:r>
    </w:p>
    <w:p>
      <w:r>
        <w:rPr>
          <w:b/>
        </w:rPr>
        <w:t>Fuel.</w:t>
      </w:r>
      <w:r>
        <w:rPr/>
        <w:t xml:space="preserve"> A biomass bank burns roughly 350 to 400 tonnes of air-dry wood a year at about 1.0 million records (~540 to 620 t as fresh chips, which is what the store and the monsoon stock are sized for).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decision.</w:t>
      </w:r>
    </w:p>
    <w:p>
      <w:r>
        <w:rPr>
          <w:b/>
        </w:rPr>
        <w:t>Where the boilers come from.</w:t>
      </w:r>
      <w:r>
        <w:rPr/>
        <w:t xml:space="preserve"> Chinese makers with Thai references (ZOZEN, Sitong, Fangkuai, Taiguo) could supply the two modules for roughly 2.8M to 5.5M THB installed against 4.5M to 7M from Thai suppliers, about 1.6M THB less at the midpoint (estimates from listings, not quotes). The specification is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a Thai boiler contractor and the certification body are the service layer either way.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the roof carries PV worth a quarter to a third of mature electricity use, with a battery for ride-through; no process water is discharged; a fifth of the plastic is reclaimed; and biomass steam, if chosen, costs a quarter to a tenth of electric steam. The same choices push the energy line toward its low end, hedge Thai tariff rises, and convert into BOI tax value (section 7). They also make the plant's sustainability story true rather than claimed, which matters to the labels it sells to.</w:t>
            </w:r>
          </w:p>
        </w:tc>
      </w:tr>
    </w:tbl>
    <w:p>
      <w:pPr>
        <w:spacing w:after="40"/>
      </w:pP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launch plant, a plot has to permit record pressing with a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boiler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ten more Classics.</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a separated battery enclosure, and a medium-voltage connection from PEA (800 to 1,000 kVA for the five-press backbone without electric steam, 1,250 to 1,600 kVA with it).</w:t>
      </w:r>
    </w:p>
    <w:p>
      <w:pPr>
        <w:pStyle w:val="Heading2"/>
      </w:pPr>
      <w:r>
        <w:t>6.2 The building</w:t>
      </w:r>
    </w:p>
    <w:p>
      <w:pPr>
        <w:jc w:val="center"/>
      </w:pPr>
      <w:r>
        <w:drawing>
          <wp:inline xmlns:a="http://schemas.openxmlformats.org/drawingml/2006/main" xmlns:pic="http://schemas.openxmlformats.org/drawingml/2006/picture">
            <wp:extent cx="4320000" cy="4320000"/>
            <wp:docPr id="3" name="Picture 3"/>
            <wp:cNvGraphicFramePr>
              <a:graphicFrameLocks noChangeAspect="1"/>
            </wp:cNvGraphicFramePr>
            <a:graphic>
              <a:graphicData uri="http://schemas.openxmlformats.org/drawingml/2006/picture">
                <pic:pic>
                  <pic:nvPicPr>
                    <pic:cNvPr id="0" name="site-plan.png"/>
                    <pic:cNvPicPr/>
                  </pic:nvPicPr>
                  <pic:blipFill>
                    <a:blip r:embed="rId13"/>
                    <a:stretch>
                      <a:fillRect/>
                    </a:stretch>
                  </pic:blipFill>
                  <pic:spPr>
                    <a:xfrm>
                      <a:off x="0" y="0"/>
                      <a:ext cx="4320000" cy="4320000"/>
                    </a:xfrm>
                    <a:prstGeom prst="rect"/>
                  </pic:spPr>
                </pic:pic>
              </a:graphicData>
            </a:graphic>
          </wp:inline>
        </w:drawing>
      </w:r>
    </w:p>
    <w:p>
      <w:pPr>
        <w:spacing w:before="40" w:after="160"/>
      </w:pPr>
      <w:r>
        <w:rPr>
          <w:i/>
          <w:color w:val="595959"/>
          <w:sz w:val="17"/>
        </w:rPr>
        <w:t>Figure 2. Site plan on the candidate Mueang Chi parcel (massing model, July 2026): main building with rooftop PV, utility yard, fire and raw-water tanks, parking canopies and the phase 2 building. It predates the crane, the visitor corridor and the utility yard built for four modules. Source: parametric model, project repository.</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(crane-served)</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are not in the table yet. At the lower half of the table everything fits in 1,500 m²; at the upper half, finished goods move to a second building.</w:t>
      </w:r>
    </w:p>
    <w:p>
      <w:pPr>
        <w:jc w:val="center"/>
      </w:pPr>
      <w:r>
        <w:drawing>
          <wp:inline xmlns:a="http://schemas.openxmlformats.org/drawingml/2006/main" xmlns:pic="http://schemas.openxmlformats.org/drawingml/2006/picture">
            <wp:extent cx="6120000" cy="2690519"/>
            <wp:docPr id="4" name="Picture 4"/>
            <wp:cNvGraphicFramePr>
              <a:graphicFrameLocks noChangeAspect="1"/>
            </wp:cNvGraphicFramePr>
            <a:graphic>
              <a:graphicData uri="http://schemas.openxmlformats.org/drawingml/2006/picture">
                <pic:pic>
                  <pic:nvPicPr>
                    <pic:cNvPr id="0" name="production-hall-layout-sketch.png"/>
                    <pic:cNvPicPr/>
                  </pic:nvPicPr>
                  <pic:blipFill>
                    <a:blip r:embed="rId14"/>
                    <a:stretch>
                      <a:fillRect/>
                    </a:stretch>
                  </pic:blipFill>
                  <pic:spPr>
                    <a:xfrm>
                      <a:off x="0" y="0"/>
                      <a:ext cx="6120000" cy="2690519"/>
                    </a:xfrm>
                    <a:prstGeom prst="rect"/>
                  </pic:spPr>
                </pic:pic>
              </a:graphicData>
            </a:graphic>
          </wp:inline>
        </w:drawing>
      </w:r>
    </w:p>
    <w:p>
      <w:pPr>
        <w:spacing w:before="40" w:after="160"/>
      </w:pPr>
      <w:r>
        <w:rPr>
          <w:i/>
          <w:color w:val="595959"/>
          <w:sz w:val="17"/>
        </w:rPr>
        <w:t>Figure 3. Rough layout sketch of the 60 × 25 m hall (October 2026): machine door and workshop at the ramp end, then mastering, galvanics, stamper prep, material area and lab, the press hall, inspection, QC and packaging along the glazed visitor corridor, with the 5 t crane runway over the production compartment up to the warehouse fire wall. It still draws two Classic positions (the launch plant installs one) and puts reception and the cutting room under the crane's travel, a conflict the Payap scenario model resolves with a separate office building. All positions are estimates.</w:t>
      </w:r>
    </w:p>
    <w:p>
      <w:pPr>
        <w:pStyle w:val="Heading3"/>
      </w:pPr>
      <w:r>
        <w:t>Crane, workshop and visitor corridor</w:t>
      </w:r>
    </w:p>
    <w:p>
      <w:pPr>
        <w:pStyle w:val="ListBullet"/>
      </w:pPr>
      <w:r>
        <w:rPr>
          <w:b/>
        </w:rPr>
        <w:t>A 5 t overhead crane</w:t>
      </w:r>
      <w:r>
        <w:rPr/>
        <w:t xml:space="preserve"> (single-girder, ~24 m span, inverter drives, radio remote) runs over the whole production compartment, roughly 40 to 48 m of the 60 m, and stops at the fire wall to the finished-goods warehouse. Machines are moved in, out and around without hiring a mobile crane. It shapes the building: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a truck reverses up the ramp into the machine bay and the crane lifts the machine off the bed inside.</w:t>
      </w:r>
    </w:p>
    <w:p>
      <w:pPr>
        <w:pStyle w:val="ListBullet"/>
      </w:pPr>
      <w:r>
        <w:rPr>
          <w:b/>
        </w:rPr>
        <w:t>A maintenance workshop</w:t>
      </w:r>
      <w:r>
        <w:rPr/>
        <w:t xml:space="preserve"> of ~100 to 150 m² beside it, where the crane parks: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w:t>
      </w:r>
      <w:r>
        <w:rPr/>
        <w:t xml:space="preserve"> at ground level along the car-park wall (~45 to 55 m, ~2.4 m clear), with stations in process order from the cutting-room window to packaging. It has its own filtered air at slight positive pressure and acoustic glazing that brings the 80 to 90 dB(A) near the presses down to roughly 40 to 50 dB(A) (estimates), so a guide talks without a headset and visitors need no PPE; a 1:12 accessible ramp serves the entrance. Tours for artists, labels, investors and schools can run several times a day without stopping production.</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w:t>
            </w:r>
          </w:p>
        </w:tc>
        <w:tc>
          <w:tcPr>
            <w:tcW w:type="dxa" w:w="3402"/>
            <w:shd w:val="clear" w:color="auto" w:fill="F2F5FA"/>
          </w:tcPr>
          <w:p>
            <w:pPr>
              <w:spacing w:after="20" w:before="20"/>
            </w:pPr>
            <w:r/>
            <w:r>
              <w:rPr>
                <w:sz w:val="18"/>
              </w:rPr>
              <w:t>42 m²</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fired case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carrying ~40 kWp of PV,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4.9). Where the second Duplex system stands on the Mueang Chi footprint is not drawn yet; the Payap scenario model draws the whole five-press fleet with room for ten more Classics.</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 (launch plant)</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Overhead crane, runway, frame premium, machine door</w:t>
            </w:r>
          </w:p>
        </w:tc>
        <w:tc>
          <w:tcPr>
            <w:tcW w:type="dxa" w:w="1474"/>
            <w:shd w:val="clear" w:color="auto" w:fill="F2F5FA"/>
          </w:tcPr>
          <w:p>
            <w:pPr>
              <w:spacing w:after="20" w:before="20"/>
            </w:pPr>
            <w:r/>
            <w:r>
              <w:rPr>
                <w:sz w:val="17"/>
              </w:rPr>
              <w:t>97k to 227k</w:t>
            </w:r>
          </w:p>
        </w:tc>
        <w:tc>
          <w:tcPr>
            <w:tcW w:type="dxa" w:w="1474"/>
            <w:shd w:val="clear" w:color="auto" w:fill="F2F5FA"/>
          </w:tcPr>
          <w:p>
            <w:pPr>
              <w:spacing w:after="20" w:before="20"/>
            </w:pPr>
            <w:r/>
            <w:r>
              <w:rPr>
                <w:sz w:val="17"/>
              </w:rPr>
              <w:t>3.2M to 7.5M</w:t>
            </w:r>
          </w:p>
        </w:tc>
        <w:tc>
          <w:tcPr>
            <w:tcW w:type="dxa" w:w="3855"/>
            <w:shd w:val="clear" w:color="auto" w:fill="F2F5FA"/>
          </w:tcPr>
          <w:p>
            <w:pPr>
              <w:spacing w:after="20" w:before="20"/>
            </w:pPr>
            <w:r/>
            <w:r>
              <w:rPr>
                <w:sz w:val="17"/>
              </w:rPr>
              <w:t>estimate</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67k to 148k</w:t>
            </w:r>
          </w:p>
        </w:tc>
        <w:tc>
          <w:tcPr>
            <w:tcW w:type="dxa" w:w="1474"/>
            <w:shd w:val="clear" w:color="auto" w:fill="F2F5FA"/>
          </w:tcPr>
          <w:p>
            <w:pPr>
              <w:spacing w:after="20" w:before="20"/>
            </w:pPr>
            <w:r/>
            <w:r>
              <w:rPr>
                <w:sz w:val="17"/>
              </w:rPr>
              <w:t>2.2M to 4.9M</w:t>
            </w:r>
          </w:p>
        </w:tc>
        <w:tc>
          <w:tcPr>
            <w:tcW w:type="dxa" w:w="3855"/>
            <w:shd w:val="clear" w:color="auto" w:fill="F2F5FA"/>
          </w:tcPr>
          <w:p>
            <w:pPr>
              <w:spacing w:after="20" w:before="20"/>
            </w:pPr>
            <w:r/>
            <w:r>
              <w:rPr>
                <w:sz w:val="17"/>
              </w:rPr>
              <w:t>estimate; building it later is a lever worth ~4.1M THB</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~0.97M to 1.76M</w:t>
            </w:r>
          </w:p>
        </w:tc>
        <w:tc>
          <w:tcPr>
            <w:tcW w:type="dxa" w:w="1474"/>
          </w:tcPr>
          <w:p>
            <w:pPr>
              <w:spacing w:after="20" w:before="20"/>
            </w:pPr>
            <w:r/>
            <w:r>
              <w:rPr>
                <w:b/>
                <w:sz w:val="17"/>
              </w:rPr>
              <w:t>~32M to 58M</w:t>
            </w:r>
          </w:p>
        </w:tc>
        <w:tc>
          <w:tcPr>
            <w:tcW w:type="dxa" w:w="3855"/>
          </w:tcPr>
          <w:p>
            <w:pPr>
              <w:spacing w:after="20" w:before="20"/>
            </w:pPr>
            <w:r/>
            <w:r>
              <w:rPr>
                <w:sz w:val="17"/>
              </w:rPr>
              <w:t>sum of the blocks, before the 15%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crane for the installations while the frame stays crane-ready would save ~3.7M THB, but that is a scope cut toward the 180M THB case, not part of the plan.</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boilers run under a licensed boiler controller (section 7).</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solar, automation and technology content, not on pressing plastic discs. The research behind this dates from July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Solar and battery measure (Announcement 2/2568, April 2025)</w:t>
            </w:r>
          </w:p>
        </w:tc>
        <w:tc>
          <w:tcPr>
            <w:tcW w:type="dxa" w:w="6350"/>
          </w:tcPr>
          <w:p>
            <w:pPr>
              <w:spacing w:after="20" w:before="20"/>
            </w:pPr>
            <w:r/>
            <w:r>
              <w:rPr>
                <w:sz w:val="18"/>
              </w:rPr>
              <w:t>CIT exemption based on the solar investment; PV modules, inverters, battery and battery inverters, and mounting are eligible, capped at THB 12M, 30M or 40M of investment per MW depending on investment type. It rewards a plant-owned array, which matters if the solar PPA lever is used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~161M to 292M THB the launch plant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or the boiler rules. </w:t>
      </w:r>
      <w:r>
        <w:rPr>
          <w:b/>
        </w:rPr>
        <w:t>Galvanics is now in the launch plant,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matching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The relief for small once-through units does not apply at ~10.5 bar (our reading), and the labour-side regulation of 2021 adds licensed-engineer installation and testing and a feedwater standard. A Chinese boiler built to the Chinese GB code would rest on 'or equivalent' with no precedent found, hence the ASME specification.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go into the application from the start. CD replication would need new activity codes, which cannot be added casually afterwards, so the investor's decision on CD (section 4.9)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Everything priced or estimated so far, rolled into one view of the launch plant decided in October 2026: one capital round for the whole chain, from the cutting room to the shrink wrapper, commissioned in sequence.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by the launch plant below and are not repeated here; the planning repository keeps them for the record.</w:t>
      </w:r>
    </w:p>
    <w:p>
      <w:pPr>
        <w:pStyle w:val="Heading2"/>
      </w:pPr>
      <w:r>
        <w:t>8.1 The launch plant,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320k to 650k</w:t>
            </w:r>
          </w:p>
        </w:tc>
        <w:tc>
          <w:tcPr>
            <w:tcW w:type="dxa" w:w="1701"/>
            <w:shd w:val="clear" w:color="auto" w:fill="F2F5FA"/>
          </w:tcPr>
          <w:p>
            <w:pPr>
              <w:spacing w:after="20" w:before="20"/>
            </w:pPr>
            <w:r/>
            <w:r>
              <w:rPr>
                <w:sz w:val="17"/>
              </w:rPr>
              <w:t>10.6M to 21.4M</w:t>
            </w:r>
          </w:p>
        </w:tc>
        <w:tc>
          <w:tcPr>
            <w:tcW w:type="dxa" w:w="3288"/>
            <w:shd w:val="clear" w:color="auto" w:fill="F2F5FA"/>
          </w:tcPr>
          <w:p>
            <w:pPr>
              <w:spacing w:after="20" w:before="20"/>
            </w:pPr>
            <w:r/>
            <w:r>
              <w:rPr>
                <w:sz w:val="17"/>
              </w:rPr>
              <w:t xml:space="preserve">Estimate; </w:t>
            </w:r>
            <w:r>
              <w:rPr>
                <w:b/>
                <w:sz w:val="17"/>
              </w:rPr>
              <w:t>no Pheenix price on file</w:t>
            </w:r>
            <w:r>
              <w:rPr>
                <w:sz w:val="17"/>
              </w:rPr>
              <w:t>; OMS's reference prices for a 4-cell wet room (EUR 224k to 311k, ~USD 259k to 359k) sit at the low end</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now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stack (XRF, laser confocal, wide-area profiler, inline vision on three presses, audio station)</w:t>
            </w:r>
          </w:p>
        </w:tc>
        <w:tc>
          <w:tcPr>
            <w:tcW w:type="dxa" w:w="1701"/>
          </w:tcPr>
          <w:p>
            <w:pPr>
              <w:spacing w:after="20" w:before="20"/>
            </w:pPr>
            <w:r/>
            <w:r>
              <w:rPr>
                <w:sz w:val="17"/>
              </w:rPr>
              <w:t>350k to 810k</w:t>
            </w:r>
          </w:p>
        </w:tc>
        <w:tc>
          <w:tcPr>
            <w:tcW w:type="dxa" w:w="1701"/>
          </w:tcPr>
          <w:p>
            <w:pPr>
              <w:spacing w:after="20" w:before="20"/>
            </w:pPr>
            <w:r/>
            <w:r>
              <w:rPr>
                <w:sz w:val="17"/>
              </w:rPr>
              <w:t>11.6M to 26.7M</w:t>
            </w:r>
          </w:p>
        </w:tc>
        <w:tc>
          <w:tcPr>
            <w:tcW w:type="dxa" w:w="3288"/>
          </w:tcPr>
          <w:p>
            <w:pPr>
              <w:spacing w:after="20" w:before="20"/>
            </w:pPr>
            <w:r/>
            <w:r>
              <w:rPr>
                <w:sz w:val="17"/>
              </w:rPr>
              <w:t>Estimate, phaseable</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Utilities, solar, battery, HVAC, clean zones, racking</w:t>
            </w:r>
          </w:p>
        </w:tc>
        <w:tc>
          <w:tcPr>
            <w:tcW w:type="dxa" w:w="1701"/>
          </w:tcPr>
          <w:p>
            <w:pPr>
              <w:spacing w:after="20" w:before="20"/>
            </w:pPr>
            <w:r/>
            <w:r>
              <w:rPr>
                <w:sz w:val="17"/>
              </w:rPr>
              <w:t>863k to 1,477k</w:t>
            </w:r>
          </w:p>
        </w:tc>
        <w:tc>
          <w:tcPr>
            <w:tcW w:type="dxa" w:w="1701"/>
          </w:tcPr>
          <w:p>
            <w:pPr>
              <w:spacing w:after="20" w:before="20"/>
            </w:pPr>
            <w:r/>
            <w:r>
              <w:rPr>
                <w:sz w:val="17"/>
              </w:rPr>
              <w:t>28.5M to 48.7M</w:t>
            </w:r>
          </w:p>
        </w:tc>
        <w:tc>
          <w:tcPr>
            <w:tcW w:type="dxa" w:w="3288"/>
          </w:tcPr>
          <w:p>
            <w:pPr>
              <w:spacing w:after="20" w:before="20"/>
            </w:pPr>
            <w:r/>
            <w:r>
              <w:rPr>
                <w:sz w:val="17"/>
              </w:rPr>
              <w:t>Researched: Thai supplier ranges, re-sized for three presses (two chiller modules instead of three)</w:t>
            </w:r>
          </w:p>
        </w:tc>
      </w:tr>
      <w:tr>
        <w:trPr>
          <w:cantSplit/>
        </w:trPr>
        <w:tc>
          <w:tcPr>
            <w:tcW w:type="dxa" w:w="2948"/>
            <w:shd w:val="clear" w:color="auto" w:fill="F2F5FA"/>
          </w:tcPr>
          <w:p>
            <w:pPr>
              <w:spacing w:after="20" w:before="20"/>
            </w:pPr>
            <w:r/>
            <w:r>
              <w:rPr>
                <w:sz w:val="17"/>
              </w:rPr>
              <w:t>Building ~1,500 m² plus civil and site works</w:t>
            </w:r>
          </w:p>
        </w:tc>
        <w:tc>
          <w:tcPr>
            <w:tcW w:type="dxa" w:w="1701"/>
            <w:shd w:val="clear" w:color="auto" w:fill="F2F5FA"/>
          </w:tcPr>
          <w:p>
            <w:pPr>
              <w:spacing w:after="20" w:before="20"/>
            </w:pPr>
            <w:r/>
            <w:r>
              <w:rPr>
                <w:sz w:val="17"/>
              </w:rPr>
              <w:t>650k to 1,100k</w:t>
            </w:r>
          </w:p>
        </w:tc>
        <w:tc>
          <w:tcPr>
            <w:tcW w:type="dxa" w:w="1701"/>
            <w:shd w:val="clear" w:color="auto" w:fill="F2F5FA"/>
          </w:tcPr>
          <w:p>
            <w:pPr>
              <w:spacing w:after="20" w:before="20"/>
            </w:pPr>
            <w:r/>
            <w:r>
              <w:rPr>
                <w:sz w:val="17"/>
              </w:rPr>
              <w:t>21.4M to 36.3M</w:t>
            </w:r>
          </w:p>
        </w:tc>
        <w:tc>
          <w:tcPr>
            <w:tcW w:type="dxa" w:w="3288"/>
            <w:shd w:val="clear" w:color="auto" w:fill="F2F5FA"/>
          </w:tcPr>
          <w:p>
            <w:pPr>
              <w:spacing w:after="20" w:before="20"/>
            </w:pPr>
            <w:r/>
            <w:r>
              <w:rPr>
                <w:sz w:val="17"/>
              </w:rPr>
              <w:t>Estimate at 12,000 to 20,000 THB/m² plus ~20 % site works; soil is the main variable</w:t>
            </w:r>
          </w:p>
        </w:tc>
      </w:tr>
      <w:tr>
        <w:trPr>
          <w:cantSplit/>
        </w:trPr>
        <w:tc>
          <w:tcPr>
            <w:tcW w:type="dxa" w:w="2948"/>
          </w:tcPr>
          <w:p>
            <w:pPr>
              <w:spacing w:after="20" w:before="20"/>
            </w:pPr>
            <w:r/>
            <w:r>
              <w:rPr>
                <w:sz w:val="17"/>
              </w:rPr>
              <w:t>Overhead crane, runway, frame premium, machine door</w:t>
            </w:r>
          </w:p>
        </w:tc>
        <w:tc>
          <w:tcPr>
            <w:tcW w:type="dxa" w:w="1701"/>
          </w:tcPr>
          <w:p>
            <w:pPr>
              <w:spacing w:after="20" w:before="20"/>
            </w:pPr>
            <w:r/>
            <w:r>
              <w:rPr>
                <w:sz w:val="17"/>
              </w:rPr>
              <w:t>97k to 227k</w:t>
            </w:r>
          </w:p>
        </w:tc>
        <w:tc>
          <w:tcPr>
            <w:tcW w:type="dxa" w:w="1701"/>
          </w:tcPr>
          <w:p>
            <w:pPr>
              <w:spacing w:after="20" w:before="20"/>
            </w:pPr>
            <w:r/>
            <w:r>
              <w:rPr>
                <w:sz w:val="17"/>
              </w:rPr>
              <w:t>3.2M to 7.5M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Maintenance workshop and machine bay fit-out</w:t>
            </w:r>
          </w:p>
        </w:tc>
        <w:tc>
          <w:tcPr>
            <w:tcW w:type="dxa" w:w="1701"/>
            <w:shd w:val="clear" w:color="auto" w:fill="F2F5FA"/>
          </w:tcPr>
          <w:p>
            <w:pPr>
              <w:spacing w:after="20" w:before="20"/>
            </w:pPr>
            <w:r/>
            <w:r>
              <w:rPr>
                <w:sz w:val="17"/>
              </w:rPr>
              <w:t>30k to 76k</w:t>
            </w:r>
          </w:p>
        </w:tc>
        <w:tc>
          <w:tcPr>
            <w:tcW w:type="dxa" w:w="1701"/>
            <w:shd w:val="clear" w:color="auto" w:fill="F2F5FA"/>
          </w:tcPr>
          <w:p>
            <w:pPr>
              <w:spacing w:after="20" w:before="20"/>
            </w:pPr>
            <w:r/>
            <w:r>
              <w:rPr>
                <w:sz w:val="17"/>
              </w:rPr>
              <w:t>1.0M to 2.5M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Visitor corridor and accessible entrance</w:t>
            </w:r>
          </w:p>
        </w:tc>
        <w:tc>
          <w:tcPr>
            <w:tcW w:type="dxa" w:w="1701"/>
          </w:tcPr>
          <w:p>
            <w:pPr>
              <w:spacing w:after="20" w:before="20"/>
            </w:pPr>
            <w:r/>
            <w:r>
              <w:rPr>
                <w:sz w:val="17"/>
              </w:rPr>
              <w:t>67k to 148k</w:t>
            </w:r>
          </w:p>
        </w:tc>
        <w:tc>
          <w:tcPr>
            <w:tcW w:type="dxa" w:w="1701"/>
          </w:tcPr>
          <w:p>
            <w:pPr>
              <w:spacing w:after="20" w:before="20"/>
            </w:pPr>
            <w:r/>
            <w:r>
              <w:rPr>
                <w:sz w:val="17"/>
              </w:rPr>
              <w:t>2.2M to 4.9M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Cassette duplication and CD-R duplication</w:t>
            </w:r>
          </w:p>
        </w:tc>
        <w:tc>
          <w:tcPr>
            <w:tcW w:type="dxa" w:w="1701"/>
            <w:shd w:val="clear" w:color="auto" w:fill="F2F5FA"/>
          </w:tcPr>
          <w:p>
            <w:pPr>
              <w:spacing w:after="20" w:before="20"/>
            </w:pPr>
            <w:r/>
            <w:r>
              <w:rPr>
                <w:sz w:val="17"/>
              </w:rPr>
              <w:t>55k to 190k</w:t>
            </w:r>
          </w:p>
        </w:tc>
        <w:tc>
          <w:tcPr>
            <w:tcW w:type="dxa" w:w="1701"/>
            <w:shd w:val="clear" w:color="auto" w:fill="F2F5FA"/>
          </w:tcPr>
          <w:p>
            <w:pPr>
              <w:spacing w:after="20" w:before="20"/>
            </w:pPr>
            <w:r/>
            <w:r>
              <w:rPr>
                <w:sz w:val="17"/>
              </w:rPr>
              <w:t>1.8M to 6.3M</w:t>
            </w:r>
          </w:p>
        </w:tc>
        <w:tc>
          <w:tcPr>
            <w:tcW w:type="dxa" w:w="3288"/>
            <w:shd w:val="clear" w:color="auto" w:fill="F2F5FA"/>
          </w:tcPr>
          <w:p>
            <w:pPr>
              <w:spacing w:after="20" w:before="20"/>
            </w:pPr>
            <w:r/>
            <w:r>
              <w:rPr>
                <w:sz w:val="17"/>
              </w:rPr>
              <w:t>Estimate, sections 4.8 and 4.9</w:t>
            </w:r>
          </w:p>
        </w:tc>
      </w:tr>
      <w:tr>
        <w:trPr>
          <w:cantSplit/>
        </w:trPr>
        <w:tc>
          <w:tcPr>
            <w:tcW w:type="dxa" w:w="2948"/>
          </w:tcPr>
          <w:p>
            <w:pPr>
              <w:spacing w:after="20" w:before="20"/>
            </w:pPr>
            <w:r/>
            <w:r>
              <w:rPr>
                <w:sz w:val="17"/>
              </w:rPr>
              <w:t>Freight, installation, commissioning, training (Pheenix, Sibert, Sillitoe, Newbilt beyond its quoted 5 days)</w:t>
            </w:r>
          </w:p>
        </w:tc>
        <w:tc>
          <w:tcPr>
            <w:tcW w:type="dxa" w:w="1701"/>
          </w:tcPr>
          <w:p>
            <w:pPr>
              <w:spacing w:after="20" w:before="20"/>
            </w:pPr>
            <w:r/>
            <w:r>
              <w:rPr>
                <w:sz w:val="17"/>
              </w:rPr>
              <w:t>150k to 300k</w:t>
            </w:r>
          </w:p>
        </w:tc>
        <w:tc>
          <w:tcPr>
            <w:tcW w:type="dxa" w:w="1701"/>
          </w:tcPr>
          <w:p>
            <w:pPr>
              <w:spacing w:after="20" w:before="20"/>
            </w:pPr>
            <w:r/>
            <w:r>
              <w:rPr>
                <w:sz w:val="17"/>
              </w:rPr>
              <w:t>5.0M to 9.9M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Working capital, PVC stock, spares, lease deposit, first-year rent</w:t>
            </w:r>
          </w:p>
        </w:tc>
        <w:tc>
          <w:tcPr>
            <w:tcW w:type="dxa" w:w="1701"/>
            <w:shd w:val="clear" w:color="auto" w:fill="F2F5FA"/>
          </w:tcPr>
          <w:p>
            <w:pPr>
              <w:spacing w:after="20" w:before="20"/>
            </w:pPr>
            <w:r/>
            <w:r>
              <w:rPr>
                <w:sz w:val="17"/>
              </w:rPr>
              <w:t>135k to 290k</w:t>
            </w:r>
          </w:p>
        </w:tc>
        <w:tc>
          <w:tcPr>
            <w:tcW w:type="dxa" w:w="1701"/>
            <w:shd w:val="clear" w:color="auto" w:fill="F2F5FA"/>
          </w:tcPr>
          <w:p>
            <w:pPr>
              <w:spacing w:after="20" w:before="20"/>
            </w:pPr>
            <w:r/>
            <w:r>
              <w:rPr>
                <w:sz w:val="17"/>
              </w:rPr>
              <w:t>4.5M to 9.6M</w:t>
            </w:r>
          </w:p>
        </w:tc>
        <w:tc>
          <w:tcPr>
            <w:tcW w:type="dxa" w:w="3288"/>
            <w:shd w:val="clear" w:color="auto" w:fill="F2F5FA"/>
          </w:tcPr>
          <w:p>
            <w:pPr>
              <w:spacing w:after="20" w:before="20"/>
            </w:pPr>
            <w:r/>
            <w:r>
              <w:rPr>
                <w:sz w:val="17"/>
              </w:rPr>
              <w:t>Estimate; land is leased, so no land purchase</w:t>
            </w:r>
          </w:p>
        </w:tc>
      </w:tr>
      <w:tr>
        <w:trPr>
          <w:cantSplit/>
        </w:trPr>
        <w:tc>
          <w:tcPr>
            <w:tcW w:type="dxa" w:w="2948"/>
          </w:tcPr>
          <w:p>
            <w:pPr>
              <w:spacing w:after="20" w:before="20"/>
            </w:pPr>
            <w:r/>
            <w:r>
              <w:rPr>
                <w:sz w:val="17"/>
              </w:rPr>
              <w:t>Subtotal</w:t>
            </w:r>
          </w:p>
        </w:tc>
        <w:tc>
          <w:tcPr>
            <w:tcW w:type="dxa" w:w="1701"/>
          </w:tcPr>
          <w:p>
            <w:pPr>
              <w:spacing w:after="20" w:before="20"/>
            </w:pPr>
            <w:r/>
            <w:r>
              <w:rPr>
                <w:sz w:val="17"/>
              </w:rPr>
              <w:t>~4.24M to 7.71M</w:t>
            </w:r>
          </w:p>
        </w:tc>
        <w:tc>
          <w:tcPr>
            <w:tcW w:type="dxa" w:w="1701"/>
          </w:tcPr>
          <w:p>
            <w:pPr>
              <w:spacing w:after="20" w:before="20"/>
            </w:pPr>
            <w:r/>
            <w:r>
              <w:rPr>
                <w:sz w:val="17"/>
              </w:rPr>
              <w:t>~140M to 254M</w:t>
            </w:r>
          </w:p>
        </w:tc>
        <w:tc>
          <w:tcPr>
            <w:tcW w:type="dxa" w:w="3288"/>
          </w:tcPr>
          <w:p>
            <w:pPr>
              <w:spacing w:after="20" w:before="20"/>
            </w:pPr>
            <w:r/>
          </w:p>
        </w:tc>
      </w:tr>
      <w:tr>
        <w:trPr>
          <w:cantSplit/>
        </w:trPr>
        <w:tc>
          <w:tcPr>
            <w:tcW w:type="dxa" w:w="2948"/>
            <w:shd w:val="clear" w:color="auto" w:fill="F2F5FA"/>
          </w:tcPr>
          <w:p>
            <w:pPr>
              <w:spacing w:after="20" w:before="20"/>
            </w:pPr>
            <w:r/>
            <w:r>
              <w:rPr>
                <w:sz w:val="17"/>
              </w:rPr>
              <w:t>Contingency 15 %</w:t>
            </w:r>
          </w:p>
        </w:tc>
        <w:tc>
          <w:tcPr>
            <w:tcW w:type="dxa" w:w="1701"/>
            <w:shd w:val="clear" w:color="auto" w:fill="F2F5FA"/>
          </w:tcPr>
          <w:p>
            <w:pPr>
              <w:spacing w:after="20" w:before="20"/>
            </w:pPr>
            <w:r/>
            <w:r>
              <w:rPr>
                <w:sz w:val="17"/>
              </w:rPr>
              <w:t>~0.64M to 1.16M</w:t>
            </w:r>
          </w:p>
        </w:tc>
        <w:tc>
          <w:tcPr>
            <w:tcW w:type="dxa" w:w="1701"/>
            <w:shd w:val="clear" w:color="auto" w:fill="F2F5FA"/>
          </w:tcPr>
          <w:p>
            <w:pPr>
              <w:spacing w:after="20" w:before="20"/>
            </w:pPr>
            <w:r/>
            <w:r>
              <w:rPr>
                <w:sz w:val="17"/>
              </w:rPr>
              <w:t>~21M to 38M</w:t>
            </w:r>
          </w:p>
        </w:tc>
        <w:tc>
          <w:tcPr>
            <w:tcW w:type="dxa" w:w="3288"/>
            <w:shd w:val="clear" w:color="auto" w:fill="F2F5FA"/>
          </w:tcPr>
          <w:p>
            <w:pPr>
              <w:spacing w:after="20" w:before="20"/>
            </w:pPr>
            <w:r/>
          </w:p>
        </w:tc>
      </w:tr>
      <w:tr>
        <w:trPr>
          <w:cantSplit/>
        </w:trPr>
        <w:tc>
          <w:tcPr>
            <w:tcW w:type="dxa" w:w="2948"/>
          </w:tcPr>
          <w:p>
            <w:pPr>
              <w:spacing w:after="20" w:before="20"/>
            </w:pPr>
            <w:r/>
            <w:r>
              <w:rPr>
                <w:b/>
                <w:sz w:val="17"/>
              </w:rPr>
              <w:t>Total, launch plant</w:t>
            </w:r>
          </w:p>
        </w:tc>
        <w:tc>
          <w:tcPr>
            <w:tcW w:type="dxa" w:w="1701"/>
          </w:tcPr>
          <w:p>
            <w:pPr>
              <w:spacing w:after="20" w:before="20"/>
            </w:pPr>
            <w:r/>
            <w:r>
              <w:rPr>
                <w:b/>
                <w:sz w:val="17"/>
              </w:rPr>
              <w:t>~4.9M to 8.9M</w:t>
            </w:r>
          </w:p>
        </w:tc>
        <w:tc>
          <w:tcPr>
            <w:tcW w:type="dxa" w:w="1701"/>
          </w:tcPr>
          <w:p>
            <w:pPr>
              <w:spacing w:after="20" w:before="20"/>
            </w:pPr>
            <w:r/>
            <w:r>
              <w:rPr>
                <w:b/>
                <w:sz w:val="17"/>
              </w:rPr>
              <w:t>~161M to 292M</w:t>
            </w:r>
          </w:p>
        </w:tc>
        <w:tc>
          <w:tcPr>
            <w:tcW w:type="dxa" w:w="3288"/>
          </w:tcPr>
          <w:p>
            <w:pPr>
              <w:spacing w:after="20" w:before="20"/>
            </w:pPr>
            <w:r/>
            <w:r>
              <w:rPr>
                <w:b/>
                <w:sz w:val="17"/>
              </w:rPr>
              <w:t>Midpoint ~6.9M USD, ~227M THB</w:t>
            </w:r>
          </w:p>
        </w:tc>
      </w:tr>
    </w:tbl>
    <w:p>
      <w:pPr>
        <w:spacing w:before="40" w:after="160"/>
      </w:pPr>
      <w:r>
        <w:rPr>
          <w:i/>
          <w:color w:val="595959"/>
          <w:sz w:val="17"/>
        </w:rPr>
        <w:t>Source: docs/finance/total-investment.md, 'Launch plant (October 2026)'. The second Duplex system and further Classics are growth options with room reserved (hall floor, utility module positions, ring-main tees), not part of this total.</w:t>
      </w:r>
    </w:p>
    <w:p>
      <w:r>
        <w:rPr>
          <w:b/>
        </w:rPr>
        <w:t>Not in the total:</w:t>
      </w:r>
      <w:r>
        <w:rPr/>
        <w:t xml:space="preserve"> a reserve for the ramp-up (staff hired before first revenue, overheads until volume covers them), ~10M to 20M THB, estimate; CD replication (section 4.9);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comes on top, plus ~0.17M USD of import VAT paid at the border and reclaimed later (estimates).</w:t>
      </w:r>
    </w:p>
    <w:p>
      <w:pPr>
        <w:pStyle w:val="Heading2"/>
      </w:pPr>
      <w:r>
        <w:t>8.2 The investor's question: 180M THB, maybe 20 % more</w:t>
      </w:r>
    </w:p>
    <w:p>
      <w:r>
        <w:rPr/>
        <w:t xml:space="preserve">The lead investor asked in October 2026 whether the plant can be built for </w:t>
      </w:r>
      <w:r>
        <w:rPr>
          <w:b/>
        </w:rPr>
        <w:t>180M THB (~5.45M USD), possibly up to 20 % more (216M THB, ~6.55M USD)</w:t>
      </w:r>
      <w:r>
        <w:rPr/>
        <w:t>. Against the launch-plant total:</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Case</w:t>
            </w:r>
          </w:p>
        </w:tc>
        <w:tc>
          <w:tcPr>
            <w:tcW w:type="dxa" w:w="2268"/>
            <w:shd w:val="clear" w:color="auto" w:fill="1F3864"/>
          </w:tcPr>
          <w:p>
            <w:pPr>
              <w:spacing w:after="20" w:before="20"/>
            </w:pPr>
            <w:r>
              <w:rPr>
                <w:b/>
              </w:rPr>
            </w:r>
            <w:r>
              <w:rPr>
                <w:b/>
                <w:color w:val="FFFFFF"/>
                <w:sz w:val="18"/>
              </w:rPr>
              <w:t>Launch plant</w:t>
            </w:r>
          </w:p>
        </w:tc>
        <w:tc>
          <w:tcPr>
            <w:tcW w:type="dxa" w:w="2268"/>
            <w:shd w:val="clear" w:color="auto" w:fill="1F3864"/>
          </w:tcPr>
          <w:p>
            <w:pPr>
              <w:spacing w:after="20" w:before="20"/>
            </w:pPr>
            <w:r>
              <w:rPr>
                <w:b/>
              </w:rPr>
            </w:r>
            <w:r>
              <w:rPr>
                <w:b/>
                <w:color w:val="FFFFFF"/>
                <w:sz w:val="18"/>
              </w:rPr>
              <w:t>Against 180M</w:t>
            </w:r>
          </w:p>
        </w:tc>
        <w:tc>
          <w:tcPr>
            <w:tcW w:type="dxa" w:w="2268"/>
            <w:shd w:val="clear" w:color="auto" w:fill="1F3864"/>
          </w:tcPr>
          <w:p>
            <w:pPr>
              <w:spacing w:after="20" w:before="20"/>
            </w:pPr>
            <w:r>
              <w:rPr>
                <w:b/>
              </w:rPr>
            </w:r>
            <w:r>
              <w:rPr>
                <w:b/>
                <w:color w:val="FFFFFF"/>
                <w:sz w:val="18"/>
              </w:rPr>
              <w:t>Against 216M</w:t>
            </w:r>
          </w:p>
        </w:tc>
      </w:tr>
      <w:tr>
        <w:trPr>
          <w:cantSplit/>
        </w:trPr>
        <w:tc>
          <w:tcPr>
            <w:tcW w:type="dxa" w:w="2835"/>
          </w:tcPr>
          <w:p>
            <w:pPr>
              <w:spacing w:after="20" w:before="20"/>
            </w:pPr>
            <w:r/>
            <w:r>
              <w:rPr>
                <w:sz w:val="18"/>
              </w:rPr>
              <w:t>Low end of every block</w:t>
            </w:r>
          </w:p>
        </w:tc>
        <w:tc>
          <w:tcPr>
            <w:tcW w:type="dxa" w:w="2268"/>
          </w:tcPr>
          <w:p>
            <w:pPr>
              <w:spacing w:after="20" w:before="20"/>
            </w:pPr>
            <w:r/>
            <w:r>
              <w:rPr>
                <w:sz w:val="18"/>
              </w:rPr>
              <w:t>~161M THB</w:t>
            </w:r>
          </w:p>
        </w:tc>
        <w:tc>
          <w:tcPr>
            <w:tcW w:type="dxa" w:w="2268"/>
          </w:tcPr>
          <w:p>
            <w:pPr>
              <w:spacing w:after="20" w:before="20"/>
            </w:pPr>
            <w:r/>
            <w:r>
              <w:rPr>
                <w:sz w:val="18"/>
              </w:rPr>
              <w:t>Fits, ~19M to spare</w:t>
            </w:r>
          </w:p>
        </w:tc>
        <w:tc>
          <w:tcPr>
            <w:tcW w:type="dxa" w:w="2268"/>
          </w:tcPr>
          <w:p>
            <w:pPr>
              <w:spacing w:after="20" w:before="20"/>
            </w:pPr>
            <w:r/>
            <w:r>
              <w:rPr>
                <w:sz w:val="18"/>
              </w:rPr>
              <w:t>Fits</w:t>
            </w:r>
          </w:p>
        </w:tc>
      </w:tr>
      <w:tr>
        <w:trPr>
          <w:cantSplit/>
        </w:trPr>
        <w:tc>
          <w:tcPr>
            <w:tcW w:type="dxa" w:w="2835"/>
            <w:shd w:val="clear" w:color="auto" w:fill="F2F5FA"/>
          </w:tcPr>
          <w:p>
            <w:pPr>
              <w:spacing w:after="20" w:before="20"/>
            </w:pPr>
            <w:r/>
            <w:r>
              <w:rPr>
                <w:sz w:val="18"/>
              </w:rPr>
              <w:t>Midpoint</w:t>
            </w:r>
          </w:p>
        </w:tc>
        <w:tc>
          <w:tcPr>
            <w:tcW w:type="dxa" w:w="2268"/>
            <w:shd w:val="clear" w:color="auto" w:fill="F2F5FA"/>
          </w:tcPr>
          <w:p>
            <w:pPr>
              <w:spacing w:after="20" w:before="20"/>
            </w:pPr>
            <w:r/>
            <w:r>
              <w:rPr>
                <w:sz w:val="18"/>
              </w:rPr>
              <w:t>~227M THB</w:t>
            </w:r>
          </w:p>
        </w:tc>
        <w:tc>
          <w:tcPr>
            <w:tcW w:type="dxa" w:w="2268"/>
            <w:shd w:val="clear" w:color="auto" w:fill="F2F5FA"/>
          </w:tcPr>
          <w:p>
            <w:pPr>
              <w:spacing w:after="20" w:before="20"/>
            </w:pPr>
            <w:r/>
            <w:r>
              <w:rPr>
                <w:sz w:val="18"/>
              </w:rPr>
              <w:t>~47M over</w:t>
            </w:r>
          </w:p>
        </w:tc>
        <w:tc>
          <w:tcPr>
            <w:tcW w:type="dxa" w:w="2268"/>
            <w:shd w:val="clear" w:color="auto" w:fill="F2F5FA"/>
          </w:tcPr>
          <w:p>
            <w:pPr>
              <w:spacing w:after="20" w:before="20"/>
            </w:pPr>
            <w:r/>
            <w:r>
              <w:rPr>
                <w:sz w:val="18"/>
              </w:rPr>
              <w:t>~11M over</w:t>
            </w:r>
          </w:p>
        </w:tc>
      </w:tr>
      <w:tr>
        <w:trPr>
          <w:cantSplit/>
        </w:trPr>
        <w:tc>
          <w:tcPr>
            <w:tcW w:type="dxa" w:w="2835"/>
          </w:tcPr>
          <w:p>
            <w:pPr>
              <w:spacing w:after="20" w:before="20"/>
            </w:pPr>
            <w:r/>
            <w:r>
              <w:rPr>
                <w:sz w:val="18"/>
              </w:rPr>
              <w:t>High end of every block</w:t>
            </w:r>
          </w:p>
        </w:tc>
        <w:tc>
          <w:tcPr>
            <w:tcW w:type="dxa" w:w="2268"/>
          </w:tcPr>
          <w:p>
            <w:pPr>
              <w:spacing w:after="20" w:before="20"/>
            </w:pPr>
            <w:r/>
            <w:r>
              <w:rPr>
                <w:sz w:val="18"/>
              </w:rPr>
              <w:t>~292M THB</w:t>
            </w:r>
          </w:p>
        </w:tc>
        <w:tc>
          <w:tcPr>
            <w:tcW w:type="dxa" w:w="2268"/>
          </w:tcPr>
          <w:p>
            <w:pPr>
              <w:spacing w:after="20" w:before="20"/>
            </w:pPr>
            <w:r/>
            <w:r>
              <w:rPr>
                <w:sz w:val="18"/>
              </w:rPr>
              <w:t>~112M over</w:t>
            </w:r>
          </w:p>
        </w:tc>
        <w:tc>
          <w:tcPr>
            <w:tcW w:type="dxa" w:w="2268"/>
          </w:tcPr>
          <w:p>
            <w:pPr>
              <w:spacing w:after="20" w:before="20"/>
            </w:pPr>
            <w:r/>
            <w:r>
              <w:rPr>
                <w:sz w:val="18"/>
              </w:rPr>
              <w:t>~76M over</w:t>
            </w:r>
          </w:p>
        </w:tc>
      </w:tr>
    </w:tbl>
    <w:p>
      <w:pPr>
        <w:spacing w:after="40"/>
      </w:pPr>
    </w:p>
    <w:p>
      <w:r>
        <w:rPr/>
        <w:t>At the midpoint, four levers bring the plant inside 216M without dropping any of the machines decided above (midpoint values with their share of the contingency, estimates):</w:t>
      </w:r>
    </w:p>
    <w:tbl>
      <w:tblPr>
        <w:tblStyle w:val="TableGrid"/>
        <w:tblW w:type="auto" w:w="0"/>
        <w:jc w:val="center"/>
        <w:tblLayout w:type="fixed"/>
        <w:tblLook w:firstColumn="1" w:firstRow="1" w:lastColumn="0" w:lastRow="0" w:noHBand="0" w:noVBand="1" w:val="04A0"/>
      </w:tblPr>
      <w:tblGrid>
        <w:gridCol w:w="6236"/>
        <w:gridCol w:w="1474"/>
        <w:gridCol w:w="1928"/>
      </w:tblGrid>
      <w:tr>
        <w:trPr>
          <w:tblHeader w:val="true"/>
          <w:cantSplit/>
        </w:trPr>
        <w:tc>
          <w:tcPr>
            <w:tcW w:type="dxa" w:w="6236"/>
            <w:shd w:val="clear" w:color="auto" w:fill="1F3864"/>
          </w:tcPr>
          <w:p>
            <w:pPr>
              <w:spacing w:after="20" w:before="20"/>
            </w:pPr>
            <w:r>
              <w:rPr>
                <w:b/>
              </w:rPr>
            </w:r>
            <w:r>
              <w:rPr>
                <w:b/>
                <w:color w:val="FFFFFF"/>
                <w:sz w:val="18"/>
              </w:rPr>
              <w:t>Lever</w:t>
            </w:r>
          </w:p>
        </w:tc>
        <w:tc>
          <w:tcPr>
            <w:tcW w:type="dxa" w:w="1474"/>
            <w:shd w:val="clear" w:color="auto" w:fill="1F3864"/>
          </w:tcPr>
          <w:p>
            <w:pPr>
              <w:spacing w:after="20" w:before="20"/>
            </w:pPr>
            <w:r>
              <w:rPr>
                <w:b/>
              </w:rPr>
            </w:r>
            <w:r>
              <w:rPr>
                <w:b/>
                <w:color w:val="FFFFFF"/>
                <w:sz w:val="18"/>
              </w:rPr>
              <w:t>Saves</w:t>
            </w:r>
          </w:p>
        </w:tc>
        <w:tc>
          <w:tcPr>
            <w:tcW w:type="dxa" w:w="1928"/>
            <w:shd w:val="clear" w:color="auto" w:fill="1F3864"/>
          </w:tcPr>
          <w:p>
            <w:pPr>
              <w:spacing w:after="20" w:before="20"/>
            </w:pPr>
            <w:r>
              <w:rPr>
                <w:b/>
              </w:rPr>
            </w:r>
            <w:r>
              <w:rPr>
                <w:b/>
                <w:color w:val="FFFFFF"/>
                <w:sz w:val="18"/>
              </w:rPr>
              <w:t>Launch plant after it</w:t>
            </w:r>
          </w:p>
        </w:tc>
      </w:tr>
      <w:tr>
        <w:trPr>
          <w:cantSplit/>
        </w:trPr>
        <w:tc>
          <w:tcPr>
            <w:tcW w:type="dxa" w:w="6236"/>
          </w:tcPr>
          <w:p>
            <w:pPr>
              <w:spacing w:after="20" w:before="20"/>
            </w:pPr>
            <w:r/>
            <w:r>
              <w:rPr>
                <w:sz w:val="18"/>
              </w:rPr>
              <w:t>Rooftop solar and battery through a solar PPA (the installer owns and finances the array, the plant buys the power) instead of buying them</w:t>
            </w:r>
          </w:p>
        </w:tc>
        <w:tc>
          <w:tcPr>
            <w:tcW w:type="dxa" w:w="1474"/>
          </w:tcPr>
          <w:p>
            <w:pPr>
              <w:spacing w:after="20" w:before="20"/>
            </w:pPr>
            <w:r/>
            <w:r>
              <w:rPr>
                <w:sz w:val="18"/>
              </w:rPr>
              <w:t>~12.3M THB</w:t>
            </w:r>
          </w:p>
        </w:tc>
        <w:tc>
          <w:tcPr>
            <w:tcW w:type="dxa" w:w="1928"/>
          </w:tcPr>
          <w:p>
            <w:pPr>
              <w:spacing w:after="20" w:before="20"/>
            </w:pPr>
            <w:r/>
            <w:r>
              <w:rPr>
                <w:sz w:val="18"/>
              </w:rPr>
              <w:t>~214M THB</w:t>
            </w:r>
          </w:p>
        </w:tc>
      </w:tr>
      <w:tr>
        <w:trPr>
          <w:cantSplit/>
        </w:trPr>
        <w:tc>
          <w:tcPr>
            <w:tcW w:type="dxa" w:w="6236"/>
            <w:shd w:val="clear" w:color="auto" w:fill="F2F5FA"/>
          </w:tcPr>
          <w:p>
            <w:pPr>
              <w:spacing w:after="20" w:before="20"/>
            </w:pPr>
            <w:r/>
            <w:r>
              <w:rPr>
                <w:sz w:val="18"/>
              </w:rPr>
              <w:t>Metrology launch tier (XRF, inline vision, audio station); the laser confocal and the wide-area profiler bought from revenue</w:t>
            </w:r>
          </w:p>
        </w:tc>
        <w:tc>
          <w:tcPr>
            <w:tcW w:type="dxa" w:w="1474"/>
            <w:shd w:val="clear" w:color="auto" w:fill="F2F5FA"/>
          </w:tcPr>
          <w:p>
            <w:pPr>
              <w:spacing w:after="20" w:before="20"/>
            </w:pPr>
            <w:r/>
            <w:r>
              <w:rPr>
                <w:sz w:val="18"/>
              </w:rPr>
              <w:t>~10.1M THB</w:t>
            </w:r>
          </w:p>
        </w:tc>
        <w:tc>
          <w:tcPr>
            <w:tcW w:type="dxa" w:w="1928"/>
            <w:shd w:val="clear" w:color="auto" w:fill="F2F5FA"/>
          </w:tcPr>
          <w:p>
            <w:pPr>
              <w:spacing w:after="20" w:before="20"/>
            </w:pPr>
            <w:r/>
            <w:r>
              <w:rPr>
                <w:sz w:val="18"/>
              </w:rPr>
              <w:t>~204M THB</w:t>
            </w:r>
          </w:p>
        </w:tc>
      </w:tr>
      <w:tr>
        <w:trPr>
          <w:cantSplit/>
        </w:trPr>
        <w:tc>
          <w:tcPr>
            <w:tcW w:type="dxa" w:w="6236"/>
          </w:tcPr>
          <w:p>
            <w:pPr>
              <w:spacing w:after="20" w:before="20"/>
            </w:pPr>
            <w:r/>
            <w:r>
              <w:rPr>
                <w:sz w:val="18"/>
              </w:rPr>
              <w:t>Pheenix galvanics priced near OMS's reference for a 4-cell wet room (EUR 224k to 311k)</w:t>
            </w:r>
          </w:p>
        </w:tc>
        <w:tc>
          <w:tcPr>
            <w:tcW w:type="dxa" w:w="1474"/>
          </w:tcPr>
          <w:p>
            <w:pPr>
              <w:spacing w:after="20" w:before="20"/>
            </w:pPr>
            <w:r/>
            <w:r>
              <w:rPr>
                <w:sz w:val="18"/>
              </w:rPr>
              <w:t>~6.7M THB</w:t>
            </w:r>
          </w:p>
        </w:tc>
        <w:tc>
          <w:tcPr>
            <w:tcW w:type="dxa" w:w="1928"/>
          </w:tcPr>
          <w:p>
            <w:pPr>
              <w:spacing w:after="20" w:before="20"/>
            </w:pPr>
            <w:r/>
            <w:r>
              <w:rPr>
                <w:sz w:val="18"/>
              </w:rPr>
              <w:t>~198M THB</w:t>
            </w:r>
          </w:p>
        </w:tc>
      </w:tr>
      <w:tr>
        <w:trPr>
          <w:cantSplit/>
        </w:trPr>
        <w:tc>
          <w:tcPr>
            <w:tcW w:type="dxa" w:w="6236"/>
            <w:shd w:val="clear" w:color="auto" w:fill="F2F5FA"/>
          </w:tcPr>
          <w:p>
            <w:pPr>
              <w:spacing w:after="20" w:before="20"/>
            </w:pPr>
            <w:r/>
            <w:r>
              <w:rPr>
                <w:sz w:val="18"/>
              </w:rPr>
              <w:t>Visitor corridor built later; the plant runs without public tours at first</w:t>
            </w:r>
          </w:p>
        </w:tc>
        <w:tc>
          <w:tcPr>
            <w:tcW w:type="dxa" w:w="1474"/>
            <w:shd w:val="clear" w:color="auto" w:fill="F2F5FA"/>
          </w:tcPr>
          <w:p>
            <w:pPr>
              <w:spacing w:after="20" w:before="20"/>
            </w:pPr>
            <w:r/>
            <w:r>
              <w:rPr>
                <w:sz w:val="18"/>
              </w:rPr>
              <w:t>~4.1M THB</w:t>
            </w:r>
          </w:p>
        </w:tc>
        <w:tc>
          <w:tcPr>
            <w:tcW w:type="dxa" w:w="1928"/>
            <w:shd w:val="clear" w:color="auto" w:fill="F2F5FA"/>
          </w:tcPr>
          <w:p>
            <w:pPr>
              <w:spacing w:after="20" w:before="20"/>
            </w:pPr>
            <w:r/>
            <w:r>
              <w:rPr>
                <w:sz w:val="18"/>
              </w:rPr>
              <w:t>~193M THB</w:t>
            </w:r>
          </w:p>
        </w:tc>
      </w:tr>
    </w:tbl>
    <w:p>
      <w:pPr>
        <w:spacing w:after="40"/>
      </w:pP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honestly</w:t>
            </w:r>
          </w:p>
          <w:p>
            <w:pPr>
              <w:spacing w:after="60"/>
              <w:ind w:left="227"/>
            </w:pPr>
            <w:r>
              <w:rPr>
                <w:sz w:val="20"/>
              </w:rPr>
              <w:t xml:space="preserve">•  </w:t>
            </w:r>
            <w:r>
              <w:rPr>
                <w:b/>
                <w:sz w:val="20"/>
              </w:rPr>
              <w:t>216M THB is a realistic target for the full equipment list; 180M THB holds only if the open quotes land low.</w:t>
            </w:r>
            <w:r>
              <w:rPr>
                <w:sz w:val="20"/>
              </w:rPr>
              <w:t xml:space="preserve"> With the four levers and the ramp-up reserve of ~10M to 20M THB on top, the midpoint comes to ~203M to 213M THB, inside 216M.</w:t>
            </w:r>
          </w:p>
          <w:p>
            <w:pPr>
              <w:spacing w:after="60"/>
              <w:ind w:left="227"/>
            </w:pPr>
            <w:r>
              <w:rPr>
                <w:sz w:val="20"/>
              </w:rPr>
              <w:t xml:space="preserve">•  </w:t>
            </w:r>
            <w:r>
              <w:rPr>
                <w:b/>
                <w:sz w:val="20"/>
              </w:rPr>
              <w:t>180M is a low-quote outcome, not a plan.</w:t>
            </w:r>
            <w:r>
              <w:rPr>
                <w:sz w:val="20"/>
              </w:rPr>
              <w:t xml:space="preserve"> Reaching it at the midpoint needs scope cuts on top of the levers: cassette and CD-R later (~4.6M THB) and a rented crane for the installations while the frame stays crane-ready (~3.7M THB) give ~185M before the reserve, still above 180M.</w:t>
            </w:r>
          </w:p>
          <w:p>
            <w:pPr>
              <w:spacing w:after="60"/>
              <w:ind w:left="227"/>
            </w:pPr>
            <w:r>
              <w:rPr>
                <w:sz w:val="20"/>
              </w:rPr>
              <w:t xml:space="preserve">•  </w:t>
            </w:r>
            <w:r>
              <w:rPr>
                <w:b/>
                <w:sz w:val="20"/>
              </w:rPr>
              <w:t>Chinese suppliers do not change the answer.</w:t>
            </w:r>
            <w:r>
              <w:rPr>
                <w:sz w:val="20"/>
              </w:rPr>
              <w:t xml:space="preserve"> Boilers, compressed air and hydraulics were checked in October 2026: about 2M THB at the midpoint (~2.5M with contingency), ~1 % of the target. Worth taking for the two boiler modules (ASME-stamped 1.25 MPa design; an imported boiler must be verified by a certification body registered with the Thai Department of Industrial Works) and for the compressor (Kaishan and Denair have Thai offices). The Newbilt hydraulic aggregates stay Newbilt's. Chinese chillers and HVAC, larger blocks, are not checked yet.</w:t>
            </w:r>
          </w:p>
        </w:tc>
      </w:tr>
    </w:tbl>
    <w:p>
      <w:pPr>
        <w:spacing w:after="40"/>
      </w:pPr>
    </w:p>
    <w:p>
      <w:r>
        <w:rPr>
          <w:b/>
        </w:rPr>
        <w:t>What decides it.</w:t>
      </w:r>
      <w:r>
        <w:rPr/>
        <w:t xml:space="preserve"> The Classic and the Pheenix galvanics line have no price on file, and the building depends on the soil. Four requests settle most of the band: the Newbilt re-quote for the Duplex and the Classic, a Pheenix quote for the galvanics line, the building request for quotation with a soil test, and distributor quotes for the metrology stack. Until they are in, the plan quotes </w:t>
      </w:r>
      <w:r>
        <w:rPr>
          <w:b/>
        </w:rPr>
        <w:t>~216M THB as the target</w:t>
      </w:r>
      <w:r>
        <w:rPr/>
        <w:t xml:space="preserve"> with the levers above, and 180M as the low-quote case.</w:t>
      </w:r>
    </w:p>
    <w:p>
      <w:pPr>
        <w:pStyle w:val="Heading2"/>
      </w:pPr>
      <w:r>
        <w:t>8.3 Tranches</w:t>
      </w:r>
    </w:p>
    <w:p>
      <w:r>
        <w:rPr/>
        <w:t>The launch plant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907"/>
        <w:gridCol w:w="3061"/>
        <w:gridCol w:w="4195"/>
        <w:gridCol w:w="1474"/>
      </w:tblGrid>
      <w:tr>
        <w:trPr>
          <w:tblHeader w:val="true"/>
          <w:cantSplit/>
        </w:trPr>
        <w:tc>
          <w:tcPr>
            <w:tcW w:type="dxa" w:w="907"/>
            <w:shd w:val="clear" w:color="auto" w:fill="1F3864"/>
          </w:tcPr>
          <w:p>
            <w:pPr>
              <w:spacing w:after="20" w:before="20"/>
            </w:pPr>
            <w:r>
              <w:rPr>
                <w:b/>
              </w:rPr>
            </w:r>
            <w:r>
              <w:rPr>
                <w:b/>
                <w:color w:val="FFFFFF"/>
                <w:sz w:val="18"/>
              </w:rPr>
              <w:t>Tranche</w:t>
            </w:r>
          </w:p>
        </w:tc>
        <w:tc>
          <w:tcPr>
            <w:tcW w:type="dxa" w:w="3061"/>
            <w:shd w:val="clear" w:color="auto" w:fill="1F3864"/>
          </w:tcPr>
          <w:p>
            <w:pPr>
              <w:spacing w:after="20" w:before="20"/>
            </w:pPr>
            <w:r>
              <w:rPr>
                <w:b/>
              </w:rPr>
            </w:r>
            <w:r>
              <w:rPr>
                <w:b/>
                <w:color w:val="FFFFFF"/>
                <w:sz w:val="18"/>
              </w:rPr>
              <w:t>Trigger</w:t>
            </w:r>
          </w:p>
        </w:tc>
        <w:tc>
          <w:tcPr>
            <w:tcW w:type="dxa" w:w="4195"/>
            <w:shd w:val="clear" w:color="auto" w:fill="1F3864"/>
          </w:tcPr>
          <w:p>
            <w:pPr>
              <w:spacing w:after="20" w:before="20"/>
            </w:pPr>
            <w:r>
              <w:rPr>
                <w:b/>
              </w:rPr>
            </w:r>
            <w:r>
              <w:rPr>
                <w:b/>
                <w:color w:val="FFFFFF"/>
                <w:sz w:val="18"/>
              </w:rPr>
              <w:t>Covers</w:t>
            </w:r>
          </w:p>
        </w:tc>
        <w:tc>
          <w:tcPr>
            <w:tcW w:type="dxa" w:w="1474"/>
            <w:shd w:val="clear" w:color="auto" w:fill="1F3864"/>
          </w:tcPr>
          <w:p>
            <w:pPr>
              <w:spacing w:after="20" w:before="20"/>
            </w:pPr>
            <w:r>
              <w:rPr>
                <w:b/>
              </w:rPr>
            </w:r>
            <w:r>
              <w:rPr>
                <w:b/>
                <w:color w:val="FFFFFF"/>
                <w:sz w:val="18"/>
              </w:rPr>
              <w:t>Approx. share</w:t>
            </w:r>
          </w:p>
        </w:tc>
      </w:tr>
      <w:tr>
        <w:trPr>
          <w:cantSplit/>
        </w:trPr>
        <w:tc>
          <w:tcPr>
            <w:tcW w:type="dxa" w:w="907"/>
          </w:tcPr>
          <w:p>
            <w:pPr>
              <w:spacing w:after="20" w:before="20"/>
            </w:pPr>
            <w:r/>
            <w:r>
              <w:rPr>
                <w:sz w:val="18"/>
              </w:rPr>
              <w:t>0</w:t>
            </w:r>
          </w:p>
        </w:tc>
        <w:tc>
          <w:tcPr>
            <w:tcW w:type="dxa" w:w="3061"/>
          </w:tcPr>
          <w:p>
            <w:pPr>
              <w:spacing w:after="20" w:before="20"/>
            </w:pPr>
            <w:r/>
            <w:r>
              <w:rPr>
                <w:sz w:val="18"/>
              </w:rPr>
              <w:t>Now</w:t>
            </w:r>
          </w:p>
        </w:tc>
        <w:tc>
          <w:tcPr>
            <w:tcW w:type="dxa" w:w="4195"/>
          </w:tcPr>
          <w:p>
            <w:pPr>
              <w:spacing w:after="20" w:before="20"/>
            </w:pPr>
            <w:r/>
            <w:r>
              <w:rPr>
                <w:sz w:val="18"/>
              </w:rPr>
              <w:t>Phase 0 work (section 14.1)</w:t>
            </w:r>
          </w:p>
        </w:tc>
        <w:tc>
          <w:tcPr>
            <w:tcW w:type="dxa" w:w="1474"/>
          </w:tcPr>
          <w:p>
            <w:pPr>
              <w:spacing w:after="20" w:before="20"/>
            </w:pPr>
            <w:r/>
            <w:r>
              <w:rPr>
                <w:sz w:val="18"/>
              </w:rPr>
              <w:t>1 to 2 %</w:t>
            </w:r>
          </w:p>
        </w:tc>
      </w:tr>
      <w:tr>
        <w:trPr>
          <w:cantSplit/>
        </w:trPr>
        <w:tc>
          <w:tcPr>
            <w:tcW w:type="dxa" w:w="907"/>
            <w:shd w:val="clear" w:color="auto" w:fill="F2F5FA"/>
          </w:tcPr>
          <w:p>
            <w:pPr>
              <w:spacing w:after="20" w:before="20"/>
            </w:pPr>
            <w:r/>
            <w:r>
              <w:rPr>
                <w:sz w:val="18"/>
              </w:rPr>
              <w:t>1</w:t>
            </w:r>
          </w:p>
        </w:tc>
        <w:tc>
          <w:tcPr>
            <w:tcW w:type="dxa" w:w="3061"/>
            <w:shd w:val="clear" w:color="auto" w:fill="F2F5FA"/>
          </w:tcPr>
          <w:p>
            <w:pPr>
              <w:spacing w:after="20" w:before="20"/>
            </w:pPr>
            <w:r/>
            <w:r>
              <w:rPr>
                <w:sz w:val="18"/>
              </w:rPr>
              <w:t>BOI certificate issued; lease signed; zoning and soil confirmed; pricing validated</w:t>
            </w:r>
          </w:p>
        </w:tc>
        <w:tc>
          <w:tcPr>
            <w:tcW w:type="dxa" w:w="4195"/>
            <w:shd w:val="clear" w:color="auto" w:fill="F2F5FA"/>
          </w:tcPr>
          <w:p>
            <w:pPr>
              <w:spacing w:after="20" w:before="20"/>
            </w:pPr>
            <w:r/>
            <w:r>
              <w:rPr>
                <w:sz w:val="18"/>
              </w:rPr>
              <w:t>Deposits on every long-lead order: Pheenix galvanics line, Sillitoe lathe, Sibert line, Newbilt Duplex and Classic; building design and permit; first boiler and chiller modules</w:t>
            </w:r>
          </w:p>
        </w:tc>
        <w:tc>
          <w:tcPr>
            <w:tcW w:type="dxa" w:w="1474"/>
            <w:shd w:val="clear" w:color="auto" w:fill="F2F5FA"/>
          </w:tcPr>
          <w:p>
            <w:pPr>
              <w:spacing w:after="20" w:before="20"/>
            </w:pPr>
            <w:r/>
            <w:r>
              <w:rPr>
                <w:sz w:val="18"/>
              </w:rPr>
              <w:t>20 to 30 %</w:t>
            </w:r>
          </w:p>
        </w:tc>
      </w:tr>
      <w:tr>
        <w:trPr>
          <w:cantSplit/>
        </w:trPr>
        <w:tc>
          <w:tcPr>
            <w:tcW w:type="dxa" w:w="907"/>
          </w:tcPr>
          <w:p>
            <w:pPr>
              <w:spacing w:after="20" w:before="20"/>
            </w:pPr>
            <w:r/>
            <w:r>
              <w:rPr>
                <w:sz w:val="18"/>
              </w:rPr>
              <w:t>2</w:t>
            </w:r>
          </w:p>
        </w:tc>
        <w:tc>
          <w:tcPr>
            <w:tcW w:type="dxa" w:w="3061"/>
          </w:tcPr>
          <w:p>
            <w:pPr>
              <w:spacing w:after="20" w:before="20"/>
            </w:pPr>
            <w:r/>
            <w:r>
              <w:rPr>
                <w:sz w:val="18"/>
              </w:rPr>
              <w:t>Building permit; vendor build dates confirmed in writing</w:t>
            </w:r>
          </w:p>
        </w:tc>
        <w:tc>
          <w:tcPr>
            <w:tcW w:type="dxa" w:w="4195"/>
          </w:tcPr>
          <w:p>
            <w:pPr>
              <w:spacing w:after="20" w:before="20"/>
            </w:pPr>
            <w:r/>
            <w:r>
              <w:rPr>
                <w:sz w:val="18"/>
              </w:rPr>
              <w:t>Construction, water-treatment building, utility yard, utilities, balance payments as machines are built</w:t>
            </w:r>
          </w:p>
        </w:tc>
        <w:tc>
          <w:tcPr>
            <w:tcW w:type="dxa" w:w="1474"/>
          </w:tcPr>
          <w:p>
            <w:pPr>
              <w:spacing w:after="20" w:before="20"/>
            </w:pPr>
            <w:r/>
            <w:r>
              <w:rPr>
                <w:sz w:val="18"/>
              </w:rPr>
              <w:t>35 to 45 %</w:t>
            </w:r>
          </w:p>
        </w:tc>
      </w:tr>
      <w:tr>
        <w:trPr>
          <w:cantSplit/>
        </w:trPr>
        <w:tc>
          <w:tcPr>
            <w:tcW w:type="dxa" w:w="907"/>
            <w:shd w:val="clear" w:color="auto" w:fill="F2F5FA"/>
          </w:tcPr>
          <w:p>
            <w:pPr>
              <w:spacing w:after="20" w:before="20"/>
            </w:pPr>
            <w:r/>
            <w:r>
              <w:rPr>
                <w:sz w:val="18"/>
              </w:rPr>
              <w:t>3</w:t>
            </w:r>
          </w:p>
        </w:tc>
        <w:tc>
          <w:tcPr>
            <w:tcW w:type="dxa" w:w="3061"/>
            <w:shd w:val="clear" w:color="auto" w:fill="F2F5FA"/>
          </w:tcPr>
          <w:p>
            <w:pPr>
              <w:spacing w:after="20" w:before="20"/>
            </w:pPr>
            <w:r/>
            <w:r>
              <w:rPr>
                <w:sz w:val="18"/>
              </w:rPr>
              <w:t>Building watertight; first machinery shipped</w:t>
            </w:r>
          </w:p>
        </w:tc>
        <w:tc>
          <w:tcPr>
            <w:tcW w:type="dxa" w:w="4195"/>
            <w:shd w:val="clear" w:color="auto" w:fill="F2F5FA"/>
          </w:tcPr>
          <w:p>
            <w:pPr>
              <w:spacing w:after="20" w:before="20"/>
            </w:pPr>
            <w:r/>
            <w:r>
              <w:rPr>
                <w:sz w:val="18"/>
              </w:rPr>
              <w:t>Fit-out, HVAC and clean zones, ZLD and DI water, crane, metrology, factory software and ERPNext, cassette and CD-R lines, the launch team</w:t>
            </w:r>
          </w:p>
        </w:tc>
        <w:tc>
          <w:tcPr>
            <w:tcW w:type="dxa" w:w="1474"/>
            <w:shd w:val="clear" w:color="auto" w:fill="F2F5FA"/>
          </w:tcPr>
          <w:p>
            <w:pPr>
              <w:spacing w:after="20" w:before="20"/>
            </w:pPr>
            <w:r/>
            <w:r>
              <w:rPr>
                <w:sz w:val="18"/>
              </w:rPr>
              <w:t>15 to 20 %</w:t>
            </w:r>
          </w:p>
        </w:tc>
      </w:tr>
      <w:tr>
        <w:trPr>
          <w:cantSplit/>
        </w:trPr>
        <w:tc>
          <w:tcPr>
            <w:tcW w:type="dxa" w:w="907"/>
          </w:tcPr>
          <w:p>
            <w:pPr>
              <w:spacing w:after="20" w:before="20"/>
            </w:pPr>
            <w:r/>
            <w:r>
              <w:rPr>
                <w:sz w:val="18"/>
              </w:rPr>
              <w:t>4</w:t>
            </w:r>
          </w:p>
        </w:tc>
        <w:tc>
          <w:tcPr>
            <w:tcW w:type="dxa" w:w="3061"/>
          </w:tcPr>
          <w:p>
            <w:pPr>
              <w:spacing w:after="20" w:before="20"/>
            </w:pPr>
            <w:r/>
            <w:r>
              <w:rPr>
                <w:sz w:val="18"/>
              </w:rPr>
              <w:t>Cutting room and galvanics commissioned; first stampers made</w:t>
            </w:r>
          </w:p>
        </w:tc>
        <w:tc>
          <w:tcPr>
            <w:tcW w:type="dxa" w:w="4195"/>
          </w:tcPr>
          <w:p>
            <w:pPr>
              <w:spacing w:after="20" w:before="20"/>
            </w:pPr>
            <w:r/>
            <w:r>
              <w:rPr>
                <w:sz w:val="18"/>
              </w:rPr>
              <w:t>Working capital, PVC stock, spares, first-year rent; the ramp-up reserve (outside the total) is drawn from here on</w:t>
            </w:r>
          </w:p>
        </w:tc>
        <w:tc>
          <w:tcPr>
            <w:tcW w:type="dxa" w:w="1474"/>
          </w:tcPr>
          <w:p>
            <w:pPr>
              <w:spacing w:after="20" w:before="20"/>
            </w:pPr>
            <w:r/>
            <w:r>
              <w:rPr>
                <w:sz w:val="18"/>
              </w:rPr>
              <w:t>8 to 12 %</w:t>
            </w:r>
          </w:p>
        </w:tc>
      </w:tr>
    </w:tbl>
    <w:p>
      <w:pPr>
        <w:spacing w:after="40"/>
      </w:pPr>
    </w:p>
    <w:p>
      <w:pPr>
        <w:pStyle w:val="Heading2"/>
      </w:pPr>
      <w:r>
        <w:t>8.4 What moves the number</w:t>
      </w:r>
    </w:p>
    <w:p>
      <w:pPr>
        <w:pStyle w:val="ListBullet"/>
      </w:pPr>
      <w:r>
        <w:rPr>
          <w:b/>
        </w:rPr>
        <w:t>BOI promotion.</w:t>
      </w:r>
      <w:r>
        <w:rPr/>
        <w:t xml:space="preserve"> The machinery duty and import VAT exemption applies across most of the equipment blocks (~0.11M USD of duty and ~0.17M USD of import VAT cash flow, estimates), and the automation and solar spend converts into corporate income tax exemption headroom. The application precedes every purchase order. One interaction to check with the BOI consultant: the solar measure is based on the plant's own solar investment, so the solar PPA lever would likely give that headroom up (our reading).</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The two missing machine prices.</w:t>
      </w:r>
      <w:r>
        <w:rPr/>
        <w:t xml:space="preserve"> The Classic and the Pheenix line carry two of the widest machine bands in the table and have no vendor price at all. The Classic band is a placeholder borrowed from another vendor's automatic press.</w:t>
      </w:r>
    </w:p>
    <w:p>
      <w:pPr>
        <w:pStyle w:val="ListBullet"/>
      </w:pPr>
      <w:r>
        <w:rPr>
          <w:b/>
        </w:rPr>
        <w:t>Chinese suppliers: ~1 %.</w:t>
      </w:r>
      <w:r>
        <w:rPr/>
        <w:t xml:space="preserve"> Checked for boilers, compressed air and hydraulics, worth about 2M THB (section 8.2). Chillers and HVAC are the larger blocks and have not been checked yet; that is the next Chinese lever to test.</w:t>
      </w:r>
    </w:p>
    <w:p>
      <w:pPr>
        <w:pStyle w:val="ListBullet"/>
      </w:pPr>
      <w:r>
        <w:rPr>
          <w:b/>
        </w:rPr>
        <w:t>Solar PPA.</w:t>
      </w:r>
      <w:r>
        <w:rPr/>
        <w:t xml:space="preserve"> The largest single lever (~12.3M THB at the midpoint) moves the array off the capital budget and adds a power price to the energy line instead.</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1.48M USD, so the same move is worth roughly USD 0.1M to 0.15M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the launch plant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3.50 to 4.60 per record</w:t>
      </w:r>
      <w:r>
        <w:rPr/>
        <w:t xml:space="preserve"> (THB 115 to 150), across run sizes and the standard/colour mix, covering pressing, labels, inner sleeve and assembly into the jacket; deluxe packaging passed through at cost plus margin. Western plants charge roughly USD 2.90 to 5.80 for standard black at volume, with premiums of 0.60 to 1.70 for colour and splatter, 180 g and small runs.</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The launch plant models 200 to 400 titles a year; mastering is labour-bound, and the plan staffs one to two engineers, which caps this line.</w:t>
      </w:r>
    </w:p>
    <w:p>
      <w:pPr>
        <w:pStyle w:val="ListBullet"/>
      </w:pPr>
      <w:r>
        <w:rPr>
          <w:b/>
        </w:rPr>
        <w:t>Cassettes and CD-Rs</w:t>
      </w:r>
      <w:r>
        <w:rPr/>
        <w:t xml:space="preserve"> are add-on lines,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and </w:t>
      </w:r>
      <w:r>
        <w:rPr>
          <w:b/>
        </w:rPr>
        <w:t>stamper supply to other plants</w:t>
      </w:r>
      <w:r>
        <w:rPr/>
        <w:t xml:space="preserve"> are on top and not modelled.</w:t>
      </w:r>
    </w:p>
    <w:p>
      <w:pPr>
        <w:pStyle w:val="Heading2"/>
      </w:pPr>
      <w:r>
        <w:t>9.2 Capacity and revenue of the launch plant</w:t>
      </w:r>
    </w:p>
    <w:p>
      <w:r>
        <w:rPr/>
        <w:t xml:space="preserve">Three presses make </w:t>
      </w:r>
      <w:r>
        <w:rPr>
          <w:b/>
        </w:rPr>
        <w:t>~0.71 to 0.97 million records a year on two shifts</w:t>
      </w:r>
      <w:r>
        <w:rPr/>
        <w:t xml:space="preserve"> (estimate): the two semi-automatic presses of the Duplex system at 60 to 80 records an hour each and the Classic at ~128 an hour (28 s cycle, vendor flyer), at 60 to 70 % effectiveness, 16 hours a day and 300 days a year. The press fleet calculator, at the team's planning rates (3 records a minute per Duplex system, 2 per Classic, 65 % effectiveness), gives ~0.94 million. The central case takes the middle, 0.84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0.71M</w:t>
            </w:r>
          </w:p>
        </w:tc>
        <w:tc>
          <w:tcPr>
            <w:tcW w:type="dxa" w:w="2268"/>
          </w:tcPr>
          <w:p>
            <w:pPr>
              <w:spacing w:after="20" w:before="20"/>
            </w:pPr>
            <w:r/>
            <w:r>
              <w:rPr>
                <w:sz w:val="18"/>
              </w:rPr>
              <w:t>0.84M</w:t>
            </w:r>
          </w:p>
        </w:tc>
        <w:tc>
          <w:tcPr>
            <w:tcW w:type="dxa" w:w="2268"/>
          </w:tcPr>
          <w:p>
            <w:pPr>
              <w:spacing w:after="20" w:before="20"/>
            </w:pPr>
            <w:r/>
            <w:r>
              <w:rPr>
                <w:sz w:val="18"/>
              </w:rPr>
              <w:t>0.97M</w:t>
            </w:r>
          </w:p>
        </w:tc>
      </w:tr>
      <w:tr>
        <w:trPr>
          <w:cantSplit/>
        </w:trPr>
        <w:tc>
          <w:tcPr>
            <w:tcW w:type="dxa" w:w="2835"/>
            <w:shd w:val="clear" w:color="auto" w:fill="F2F5FA"/>
          </w:tcPr>
          <w:p>
            <w:pPr>
              <w:spacing w:after="20" w:before="20"/>
            </w:pPr>
            <w:r/>
            <w:r>
              <w:rPr>
                <w:sz w:val="18"/>
              </w:rPr>
              <w:t>Blended price</w:t>
            </w:r>
          </w:p>
        </w:tc>
        <w:tc>
          <w:tcPr>
            <w:tcW w:type="dxa" w:w="2268"/>
            <w:shd w:val="clear" w:color="auto" w:fill="F2F5FA"/>
          </w:tcPr>
          <w:p>
            <w:pPr>
              <w:spacing w:after="20" w:before="20"/>
            </w:pPr>
            <w:r/>
            <w:r>
              <w:rPr>
                <w:sz w:val="18"/>
              </w:rPr>
              <w:t>3.50</w:t>
            </w:r>
          </w:p>
        </w:tc>
        <w:tc>
          <w:tcPr>
            <w:tcW w:type="dxa" w:w="2268"/>
            <w:shd w:val="clear" w:color="auto" w:fill="F2F5FA"/>
          </w:tcPr>
          <w:p>
            <w:pPr>
              <w:spacing w:after="20" w:before="20"/>
            </w:pPr>
            <w:r/>
            <w:r>
              <w:rPr>
                <w:sz w:val="18"/>
              </w:rPr>
              <w:t>4.05</w:t>
            </w:r>
          </w:p>
        </w:tc>
        <w:tc>
          <w:tcPr>
            <w:tcW w:type="dxa" w:w="2268"/>
            <w:shd w:val="clear" w:color="auto" w:fill="F2F5FA"/>
          </w:tcPr>
          <w:p>
            <w:pPr>
              <w:spacing w:after="20" w:before="20"/>
            </w:pPr>
            <w:r/>
            <w:r>
              <w:rPr>
                <w:sz w:val="18"/>
              </w:rPr>
              <w:t>4.60</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~2.49M</w:t>
            </w:r>
          </w:p>
        </w:tc>
        <w:tc>
          <w:tcPr>
            <w:tcW w:type="dxa" w:w="2268"/>
          </w:tcPr>
          <w:p>
            <w:pPr>
              <w:spacing w:after="20" w:before="20"/>
            </w:pPr>
            <w:r/>
            <w:r>
              <w:rPr>
                <w:sz w:val="18"/>
              </w:rPr>
              <w:t>~3.40M</w:t>
            </w:r>
          </w:p>
        </w:tc>
        <w:tc>
          <w:tcPr>
            <w:tcW w:type="dxa" w:w="2268"/>
          </w:tcPr>
          <w:p>
            <w:pPr>
              <w:spacing w:after="20" w:before="20"/>
            </w:pPr>
            <w:r/>
            <w:r>
              <w:rPr>
                <w:sz w:val="18"/>
              </w:rPr>
              <w:t>~4.46M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2.60M (~86M THB)</w:t>
            </w:r>
          </w:p>
        </w:tc>
        <w:tc>
          <w:tcPr>
            <w:tcW w:type="dxa" w:w="2268"/>
            <w:shd w:val="clear" w:color="auto" w:fill="F2F5FA"/>
          </w:tcPr>
          <w:p>
            <w:pPr>
              <w:spacing w:after="20" w:before="20"/>
            </w:pPr>
            <w:r/>
            <w:r>
              <w:rPr>
                <w:b/>
                <w:sz w:val="18"/>
              </w:rPr>
              <w:t>3.75M (~124M THB)</w:t>
            </w:r>
          </w:p>
        </w:tc>
        <w:tc>
          <w:tcPr>
            <w:tcW w:type="dxa" w:w="2268"/>
            <w:shd w:val="clear" w:color="auto" w:fill="F2F5FA"/>
          </w:tcPr>
          <w:p>
            <w:pPr>
              <w:spacing w:after="20" w:before="20"/>
            </w:pPr>
            <w:r/>
            <w:r>
              <w:rPr>
                <w:b/>
                <w:sz w:val="18"/>
              </w:rPr>
              <w:t>5.15M (~170M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launch plant</w:t>
            </w:r>
          </w:p>
        </w:tc>
        <w:tc>
          <w:tcPr>
            <w:tcW w:type="dxa" w:w="1474"/>
          </w:tcPr>
          <w:p>
            <w:pPr>
              <w:spacing w:after="20" w:before="20"/>
            </w:pPr>
            <w:r/>
            <w:r>
              <w:rPr>
                <w:b/>
                <w:sz w:val="17"/>
              </w:rPr>
              <w:t>0.12 to 0.23</w:t>
            </w:r>
          </w:p>
        </w:tc>
        <w:tc>
          <w:tcPr>
            <w:tcW w:type="dxa" w:w="1474"/>
          </w:tcPr>
          <w:p>
            <w:pPr>
              <w:spacing w:after="20" w:before="20"/>
            </w:pPr>
            <w:r/>
            <w:r>
              <w:rPr>
                <w:sz w:val="17"/>
              </w:rPr>
              <w:t>4.0 to 7.6</w:t>
            </w:r>
          </w:p>
        </w:tc>
        <w:tc>
          <w:tcPr>
            <w:tcW w:type="dxa" w:w="4309"/>
          </w:tcPr>
          <w:p>
            <w:pPr>
              <w:spacing w:after="20" w:before="20"/>
            </w:pPr>
            <w:r/>
            <w:r>
              <w:rPr>
                <w:sz w:val="17"/>
              </w:rPr>
              <w:t>13 to 19 direct staff, 3.7M to 5.4M THB a year, over 0.71 to 0.97M records (0.08 to 0.16 on the five-press fleet)</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launch plant</w:t>
            </w:r>
          </w:p>
        </w:tc>
        <w:tc>
          <w:tcPr>
            <w:tcW w:type="dxa" w:w="1474"/>
          </w:tcPr>
          <w:p>
            <w:pPr>
              <w:spacing w:after="20" w:before="20"/>
            </w:pPr>
            <w:r/>
            <w:r>
              <w:rPr>
                <w:b/>
                <w:sz w:val="17"/>
              </w:rPr>
              <w:t>~1.34 to 2.65</w:t>
            </w:r>
          </w:p>
        </w:tc>
        <w:tc>
          <w:tcPr>
            <w:tcW w:type="dxa" w:w="1474"/>
          </w:tcPr>
          <w:p>
            <w:pPr>
              <w:spacing w:after="20" w:before="20"/>
            </w:pPr>
            <w:r/>
            <w:r>
              <w:rPr>
                <w:b/>
                <w:sz w:val="17"/>
              </w:rPr>
              <w:t>~44 to 87</w:t>
            </w:r>
          </w:p>
        </w:tc>
        <w:tc>
          <w:tcPr>
            <w:tcW w:type="dxa" w:w="4309"/>
          </w:tcPr>
          <w:p>
            <w:pPr>
              <w:spacing w:after="20" w:before="20"/>
            </w:pPr>
            <w:r/>
            <w:r>
              <w:rPr>
                <w:sz w:val="17"/>
              </w:rPr>
              <w:t>Central 1.98</w:t>
            </w:r>
          </w:p>
        </w:tc>
      </w:tr>
    </w:tbl>
    <w:p>
      <w:pPr>
        <w:spacing w:before="40" w:after="160"/>
      </w:pPr>
      <w:r>
        <w:rPr>
          <w:i/>
          <w:color w:val="595959"/>
          <w:sz w:val="17"/>
        </w:rPr>
        <w:t>Estimates, docs/finance/revenue-model.md. THB at 33 per USD.</w:t>
      </w:r>
    </w:p>
    <w:p>
      <w:r>
        <w:rPr>
          <w:b/>
        </w:rPr>
        <w:t>Why labour per record is higher than in the September draft.</w:t>
      </w:r>
      <w:r>
        <w:rPr/>
        <w:t xml:space="preserve"> Two shifts need the full press, finishing, galvanics, QC and maintenance crews whether the hall holds three presses or five, so the direct payroll stays at 3.7M to 5.4M THB a year (113k to 163k USD) while the volume falls from 1.0 to 1.5 million records to 0.71 to 0.97 million. Labour per record rises to </w:t>
      </w:r>
      <w:r>
        <w:rPr>
          <w:b/>
        </w:rPr>
        <w:t>0.12 / 0.16 / 0.23 USD</w:t>
      </w:r>
      <w:r>
        <w:rPr/>
        <w:t xml:space="preserve"> (favourable / central / adverse), and the direct cost to 1.34 / 1.98 / 2.65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the launch plant</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8.9M USD over 10 years (adverse), the 216M THB target (~6.55M USD) over 12.5 years (central), and 4.9M USD over 15 years (favourable).</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0.71M</w:t>
            </w:r>
          </w:p>
        </w:tc>
        <w:tc>
          <w:tcPr>
            <w:tcW w:type="dxa" w:w="2721"/>
          </w:tcPr>
          <w:p>
            <w:pPr>
              <w:spacing w:after="20" w:before="20"/>
            </w:pPr>
            <w:r/>
            <w:r>
              <w:rPr>
                <w:sz w:val="18"/>
              </w:rPr>
              <w:t>0.84M</w:t>
            </w:r>
          </w:p>
        </w:tc>
        <w:tc>
          <w:tcPr>
            <w:tcW w:type="dxa" w:w="2041"/>
          </w:tcPr>
          <w:p>
            <w:pPr>
              <w:spacing w:after="20" w:before="20"/>
            </w:pPr>
            <w:r/>
            <w:r>
              <w:rPr>
                <w:sz w:val="18"/>
              </w:rPr>
              <w:t>0.97M</w:t>
            </w:r>
          </w:p>
        </w:tc>
      </w:tr>
      <w:tr>
        <w:trPr>
          <w:cantSplit/>
        </w:trPr>
        <w:tc>
          <w:tcPr>
            <w:tcW w:type="dxa" w:w="2835"/>
            <w:shd w:val="clear" w:color="auto" w:fill="F2F5FA"/>
          </w:tcPr>
          <w:p>
            <w:pPr>
              <w:spacing w:after="20" w:before="20"/>
            </w:pPr>
            <w:r/>
            <w:r>
              <w:rPr>
                <w:sz w:val="18"/>
              </w:rPr>
              <w:t>Blended price</w:t>
            </w:r>
          </w:p>
        </w:tc>
        <w:tc>
          <w:tcPr>
            <w:tcW w:type="dxa" w:w="2041"/>
            <w:shd w:val="clear" w:color="auto" w:fill="F2F5FA"/>
          </w:tcPr>
          <w:p>
            <w:pPr>
              <w:spacing w:after="20" w:before="20"/>
            </w:pPr>
            <w:r/>
            <w:r>
              <w:rPr>
                <w:sz w:val="18"/>
              </w:rPr>
              <w:t>3.50</w:t>
            </w:r>
          </w:p>
        </w:tc>
        <w:tc>
          <w:tcPr>
            <w:tcW w:type="dxa" w:w="2721"/>
            <w:shd w:val="clear" w:color="auto" w:fill="F2F5FA"/>
          </w:tcPr>
          <w:p>
            <w:pPr>
              <w:spacing w:after="20" w:before="20"/>
            </w:pPr>
            <w:r/>
            <w:r>
              <w:rPr>
                <w:sz w:val="18"/>
              </w:rPr>
              <w:t>4.05</w:t>
            </w:r>
          </w:p>
        </w:tc>
        <w:tc>
          <w:tcPr>
            <w:tcW w:type="dxa" w:w="2041"/>
            <w:shd w:val="clear" w:color="auto" w:fill="F2F5FA"/>
          </w:tcPr>
          <w:p>
            <w:pPr>
              <w:spacing w:after="20" w:before="20"/>
            </w:pPr>
            <w:r/>
            <w:r>
              <w:rPr>
                <w:sz w:val="18"/>
              </w:rPr>
              <w:t>4.60</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2.65</w:t>
            </w:r>
          </w:p>
        </w:tc>
        <w:tc>
          <w:tcPr>
            <w:tcW w:type="dxa" w:w="2721"/>
          </w:tcPr>
          <w:p>
            <w:pPr>
              <w:spacing w:after="20" w:before="20"/>
            </w:pPr>
            <w:r/>
            <w:r>
              <w:rPr>
                <w:sz w:val="18"/>
              </w:rPr>
              <w:t>1.98</w:t>
            </w:r>
          </w:p>
        </w:tc>
        <w:tc>
          <w:tcPr>
            <w:tcW w:type="dxa" w:w="2041"/>
          </w:tcPr>
          <w:p>
            <w:pPr>
              <w:spacing w:after="20" w:before="20"/>
            </w:pPr>
            <w:r/>
            <w:r>
              <w:rPr>
                <w:sz w:val="18"/>
              </w:rPr>
              <w:t>1.34</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0.85</w:t>
            </w:r>
          </w:p>
        </w:tc>
        <w:tc>
          <w:tcPr>
            <w:tcW w:type="dxa" w:w="2721"/>
            <w:shd w:val="clear" w:color="auto" w:fill="F2F5FA"/>
          </w:tcPr>
          <w:p>
            <w:pPr>
              <w:spacing w:after="20" w:before="20"/>
            </w:pPr>
            <w:r/>
            <w:r>
              <w:rPr>
                <w:sz w:val="18"/>
              </w:rPr>
              <w:t>2.07</w:t>
            </w:r>
          </w:p>
        </w:tc>
        <w:tc>
          <w:tcPr>
            <w:tcW w:type="dxa" w:w="2041"/>
            <w:shd w:val="clear" w:color="auto" w:fill="F2F5FA"/>
          </w:tcPr>
          <w:p>
            <w:pPr>
              <w:spacing w:after="20" w:before="20"/>
            </w:pPr>
            <w:r/>
            <w:r>
              <w:rPr>
                <w:sz w:val="18"/>
              </w:rPr>
              <w:t>3.26</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0.60M</w:t>
            </w:r>
          </w:p>
        </w:tc>
        <w:tc>
          <w:tcPr>
            <w:tcW w:type="dxa" w:w="2721"/>
          </w:tcPr>
          <w:p>
            <w:pPr>
              <w:spacing w:after="20" w:before="20"/>
            </w:pPr>
            <w:r/>
            <w:r>
              <w:rPr>
                <w:sz w:val="18"/>
              </w:rPr>
              <w:t>1.74M</w:t>
            </w:r>
          </w:p>
        </w:tc>
        <w:tc>
          <w:tcPr>
            <w:tcW w:type="dxa" w:w="2041"/>
          </w:tcPr>
          <w:p>
            <w:pPr>
              <w:spacing w:after="20" w:before="20"/>
            </w:pPr>
            <w:r/>
            <w:r>
              <w:rPr>
                <w:sz w:val="18"/>
              </w:rPr>
              <w:t>3.17M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0.67M</w:t>
            </w:r>
          </w:p>
        </w:tc>
        <w:tc>
          <w:tcPr>
            <w:tcW w:type="dxa" w:w="2721"/>
          </w:tcPr>
          <w:p>
            <w:pPr>
              <w:spacing w:after="20" w:before="20"/>
            </w:pPr>
            <w:r/>
            <w:r>
              <w:rPr>
                <w:b/>
                <w:sz w:val="18"/>
              </w:rPr>
              <w:t>1.96M</w:t>
            </w:r>
          </w:p>
        </w:tc>
        <w:tc>
          <w:tcPr>
            <w:tcW w:type="dxa" w:w="2041"/>
          </w:tcPr>
          <w:p>
            <w:pPr>
              <w:spacing w:after="20" w:before="20"/>
            </w:pPr>
            <w:r/>
            <w:r>
              <w:rPr>
                <w:b/>
                <w:sz w:val="18"/>
              </w:rPr>
              <w:t>3.65M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0.22M</w:t>
            </w:r>
          </w:p>
        </w:tc>
        <w:tc>
          <w:tcPr>
            <w:tcW w:type="dxa" w:w="2721"/>
          </w:tcPr>
          <w:p>
            <w:pPr>
              <w:spacing w:after="20" w:before="20"/>
            </w:pPr>
            <w:r/>
            <w:r>
              <w:rPr>
                <w:b/>
                <w:sz w:val="18"/>
              </w:rPr>
              <w:t>1.63M</w:t>
            </w:r>
          </w:p>
        </w:tc>
        <w:tc>
          <w:tcPr>
            <w:tcW w:type="dxa" w:w="2041"/>
          </w:tcPr>
          <w:p>
            <w:pPr>
              <w:spacing w:after="20" w:before="20"/>
            </w:pPr>
            <w:r/>
            <w:r>
              <w:rPr>
                <w:b/>
                <w:sz w:val="18"/>
              </w:rPr>
              <w:t>3.45M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0.89M</w:t>
            </w:r>
          </w:p>
        </w:tc>
        <w:tc>
          <w:tcPr>
            <w:tcW w:type="dxa" w:w="2721"/>
            <w:shd w:val="clear" w:color="auto" w:fill="F2F5FA"/>
          </w:tcPr>
          <w:p>
            <w:pPr>
              <w:spacing w:after="20" w:before="20"/>
            </w:pPr>
            <w:r/>
            <w:r>
              <w:rPr>
                <w:sz w:val="18"/>
              </w:rPr>
              <w:t>0.52M</w:t>
            </w:r>
          </w:p>
        </w:tc>
        <w:tc>
          <w:tcPr>
            <w:tcW w:type="dxa" w:w="2041"/>
            <w:shd w:val="clear" w:color="auto" w:fill="F2F5FA"/>
          </w:tcPr>
          <w:p>
            <w:pPr>
              <w:spacing w:after="20" w:before="20"/>
            </w:pPr>
            <w:r/>
            <w:r>
              <w:rPr>
                <w:sz w:val="18"/>
              </w:rPr>
              <w:t>0.33M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-0.67M</w:t>
            </w:r>
          </w:p>
        </w:tc>
        <w:tc>
          <w:tcPr>
            <w:tcW w:type="dxa" w:w="2721"/>
          </w:tcPr>
          <w:p>
            <w:pPr>
              <w:spacing w:after="20" w:before="20"/>
            </w:pPr>
            <w:r/>
            <w:r>
              <w:rPr>
                <w:b/>
                <w:sz w:val="18"/>
              </w:rPr>
              <w:t>1.11M</w:t>
            </w:r>
          </w:p>
        </w:tc>
        <w:tc>
          <w:tcPr>
            <w:tcW w:type="dxa" w:w="2041"/>
          </w:tcPr>
          <w:p>
            <w:pPr>
              <w:spacing w:after="20" w:before="20"/>
            </w:pPr>
            <w:r/>
            <w:r>
              <w:rPr>
                <w:b/>
                <w:sz w:val="18"/>
              </w:rPr>
              <w:t>3.12M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2.60M (~86M THB)</w:t>
            </w:r>
          </w:p>
        </w:tc>
        <w:tc>
          <w:tcPr>
            <w:tcW w:type="dxa" w:w="2721"/>
            <w:shd w:val="clear" w:color="auto" w:fill="F2F5FA"/>
          </w:tcPr>
          <w:p>
            <w:pPr>
              <w:spacing w:after="20" w:before="20"/>
            </w:pPr>
            <w:r/>
            <w:r>
              <w:rPr>
                <w:sz w:val="18"/>
              </w:rPr>
              <w:t>3.75M (~124M THB)</w:t>
            </w:r>
          </w:p>
        </w:tc>
        <w:tc>
          <w:tcPr>
            <w:tcW w:type="dxa" w:w="2041"/>
            <w:shd w:val="clear" w:color="auto" w:fill="F2F5FA"/>
          </w:tcPr>
          <w:p>
            <w:pPr>
              <w:spacing w:after="20" w:before="20"/>
            </w:pPr>
            <w:r/>
            <w:r>
              <w:rPr>
                <w:sz w:val="18"/>
              </w:rPr>
              <w:t>5.15M (~170M THB)</w:t>
            </w:r>
          </w:p>
        </w:tc>
      </w:tr>
      <w:tr>
        <w:trPr>
          <w:cantSplit/>
        </w:trPr>
        <w:tc>
          <w:tcPr>
            <w:tcW w:type="dxa" w:w="2835"/>
          </w:tcPr>
          <w:p>
            <w:pPr>
              <w:spacing w:after="20" w:before="20"/>
            </w:pPr>
            <w:r/>
            <w:r>
              <w:rPr>
                <w:sz w:val="18"/>
              </w:rPr>
              <w:t>Payback (EBITDA, mature year)</w:t>
            </w:r>
          </w:p>
        </w:tc>
        <w:tc>
          <w:tcPr>
            <w:tcW w:type="dxa" w:w="2041"/>
          </w:tcPr>
          <w:p>
            <w:pPr>
              <w:spacing w:after="20" w:before="20"/>
            </w:pPr>
            <w:r/>
            <w:r>
              <w:rPr>
                <w:sz w:val="18"/>
              </w:rPr>
              <w:t>never</w:t>
            </w:r>
          </w:p>
        </w:tc>
        <w:tc>
          <w:tcPr>
            <w:tcW w:type="dxa" w:w="2721"/>
          </w:tcPr>
          <w:p>
            <w:pPr>
              <w:spacing w:after="20" w:before="20"/>
            </w:pPr>
            <w:r/>
            <w:r>
              <w:rPr>
                <w:sz w:val="18"/>
              </w:rPr>
              <w:t>~4 yr (3.0 to 5.5 on 4.9M to 8.9M)</w:t>
            </w:r>
          </w:p>
        </w:tc>
        <w:tc>
          <w:tcPr>
            <w:tcW w:type="dxa" w:w="2041"/>
          </w:tcPr>
          <w:p>
            <w:pPr>
              <w:spacing w:after="20" w:before="20"/>
            </w:pPr>
            <w:r/>
            <w:r>
              <w:rPr>
                <w:sz w:val="18"/>
              </w:rPr>
              <w:t>~1.4 yr</w:t>
            </w:r>
          </w:p>
        </w:tc>
      </w:tr>
    </w:tbl>
    <w:p>
      <w:pPr>
        <w:spacing w:before="40" w:after="160"/>
      </w:pPr>
      <w:r>
        <w:rPr>
          <w:i/>
          <w:color w:val="595959"/>
          <w:sz w:val="17"/>
        </w:rPr>
        <w:t>Estimates, docs/finance/revenue-model.md 'Operating picture of the launch plant (October 2026)'. Title services at 60 to 70 % contribution after lacquers, styli and nickel.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216M THB.</w:t>
            </w:r>
            <w:r>
              <w:rPr>
                <w:sz w:val="20"/>
              </w:rPr>
              <w:t xml:space="preserve"> EBITDA ~1.6M USD (~54M THB) and operating profit ~1.1M USD (~37M THB) a year once the plant runs at volume. It breaks even on operating profit at about </w:t>
            </w:r>
            <w:r>
              <w:rPr>
                <w:b/>
                <w:sz w:val="20"/>
              </w:rPr>
              <w:t>0.3 million records a year, a little over a third of capacity</w:t>
            </w:r>
            <w:r>
              <w:rPr>
                <w:sz w:val="20"/>
              </w:rPr>
              <w:t>.</w:t>
            </w:r>
          </w:p>
          <w:p>
            <w:pPr>
              <w:spacing w:after="60"/>
              <w:ind w:left="227"/>
            </w:pPr>
            <w:r>
              <w:rPr>
                <w:sz w:val="20"/>
              </w:rPr>
              <w:t xml:space="preserve">•  </w:t>
            </w:r>
            <w:r>
              <w:rPr>
                <w:b/>
                <w:sz w:val="20"/>
              </w:rPr>
              <w:t>The adverse case cannot cover depreciation at any volume three presses make.</w:t>
            </w:r>
            <w:r>
              <w:rPr>
                <w:sz w:val="20"/>
              </w:rPr>
              <w:t xml:space="preserve"> It would need ~1.5 million records. It stacks the low price, the high cost, the high capital and the high overheads at once. At the central cost and volume, the price that covers depreciation is only ~2.7 to 3.0 USD (~90 to 98 THB) a record, below the low price assumed: price realisation and utilisation decide solvency, not upside.</w:t>
            </w:r>
          </w:p>
          <w:p>
            <w:pPr>
              <w:spacing w:after="60"/>
              <w:ind w:left="227"/>
            </w:pPr>
            <w:r>
              <w:rPr>
                <w:sz w:val="20"/>
              </w:rPr>
              <w:t xml:space="preserve">•  </w:t>
            </w:r>
            <w:r>
              <w:rPr>
                <w:b/>
                <w:sz w:val="20"/>
              </w:rPr>
              <w:t>The central margin is too good to trust yet.</w:t>
            </w:r>
            <w:r>
              <w:rPr>
                <w:sz w:val="20"/>
              </w:rPr>
              <w:t xml:space="preserve"> A central EBITDA margin of ~43 % is far above the 15 to 25 % pressing plants earn. The direct cost table counts only per-record consumables and direct payroll and leaves out indirect labour (supervision, planning, warehouse), freight, scrap above the reject allowance and sales commissions. </w:t>
            </w:r>
            <w:r>
              <w:rPr>
                <w:b/>
                <w:sz w:val="20"/>
              </w:rPr>
              <w:t>Treat the adverse column as the honest one until those lines exist.</w:t>
            </w:r>
          </w:p>
          <w:p>
            <w:pPr>
              <w:spacing w:after="60"/>
              <w:ind w:left="227"/>
            </w:pPr>
            <w:r>
              <w:rPr>
                <w:sz w:val="20"/>
              </w:rPr>
              <w:t xml:space="preserve">•  </w:t>
            </w:r>
            <w:r>
              <w:rPr>
                <w:b/>
                <w:sz w:val="20"/>
              </w:rPr>
              <w:t>This is a sensitivity, not a forecast.</w:t>
            </w:r>
            <w:r>
              <w:rPr>
                <w:sz w:val="20"/>
              </w:rPr>
              <w:t xml:space="preserve"> The plant and business plan calculator, with its own cost build-up (it adds electric steam heat and the cutting engineer, which this table leaves out), gives at 850k records: revenue 3.75M, EBITDA 1.68M, operating profit 1.13M USD, payback 4.1 years on a mature year; with a ramp of 35, 70 and 90 % in the first three years, cash payback in year ~5.7 and ~13 % IRR over ten years, pre-tax and pre-financing (estimates). Not modelled here: cassette and CD-R lines, stamper supply to other plants, dropshipping fees, and the ramp year. BOI tax exemptions shield part of early-year profits where there are any.</w:t>
            </w:r>
          </w:p>
        </w:tc>
      </w:tr>
    </w:tbl>
    <w:p>
      <w:pPr>
        <w:spacing w:after="40"/>
      </w:pPr>
    </w:p>
    <w:p>
      <w:pPr>
        <w:pStyle w:val="Heading2"/>
      </w:pPr>
      <w:r>
        <w:t>9.5 The ramp</w:t>
      </w:r>
    </w:p>
    <w:p>
      <w:r>
        <w:rPr/>
        <w:t xml:space="preserve">The table above is a mature year. The launch plant does not start there. It is commissioned in sequence: first the cutting room and galvanics (the presses need their stampers), then the Duplex system, then the Classic. Early production runs slower and rejects more than any of these figures while the process settles, and the crews of a two-shift plant are on the payroll before the volume is. The </w:t>
      </w:r>
      <w:r>
        <w:rPr>
          <w:b/>
        </w:rPr>
        <w:t>ramp-up reserve of ~10M to 20M THB</w:t>
      </w:r>
      <w:r>
        <w:rPr/>
        <w:t xml:space="preserve"> (estimate, outside the investment total)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w:t>
      </w:r>
    </w:p>
    <w:p>
      <w:r>
        <w:rPr>
          <w:b/>
        </w:rPr>
        <w:t>The growth option.</w:t>
      </w:r>
      <w:r>
        <w:rPr/>
        <w:t xml:space="preserve"> A second Duplex system (two more semi-automatic presses) lifts the plant to ~1.0 to 1.5 million records a year, roughly </w:t>
      </w:r>
      <w:r>
        <w:rPr>
          <w:b/>
        </w:rPr>
        <w:t>+0.3 to 0.5 million records</w:t>
      </w:r>
      <w:r>
        <w:rPr/>
        <w:t xml:space="preserve">, for </w:t>
      </w:r>
      <w:r>
        <w:rPr>
          <w:b/>
        </w:rPr>
        <w:t>~USD 230k to 300k</w:t>
      </w:r>
      <w:r>
        <w:rPr/>
        <w:t xml:space="preserve"> for the press system (estimate: two presses at the quoted ~115k per press and extruder set, plus hydraulic unit and EX 35, no EX 35 price on file); its utility modules and installation come on top. The hall, the module positions in the boiler hall and chiller compound, and the ring-main tees are reserved for it, so it is a revenue-funded step, not a rebuild.</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w:t>
            </w:r>
          </w:p>
        </w:tc>
      </w:tr>
      <w:tr>
        <w:trPr>
          <w:cantSplit/>
        </w:trPr>
        <w:tc>
          <w:tcPr>
            <w:tcW w:type="dxa" w:w="2381"/>
            <w:shd w:val="clear" w:color="auto" w:fill="F2F5FA"/>
          </w:tcPr>
          <w:p>
            <w:pPr>
              <w:spacing w:after="20" w:before="20"/>
            </w:pPr>
            <w:r/>
            <w:r>
              <w:rPr>
                <w:sz w:val="18"/>
              </w:rPr>
              <w:t>Solar and battery (purchase or PPA)</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Fit-out, ~Q2 2028</w:t>
            </w:r>
          </w:p>
        </w:tc>
        <w:tc>
          <w:tcPr>
            <w:tcW w:type="dxa" w:w="1587"/>
          </w:tcPr>
          <w:p>
            <w:pPr>
              <w:spacing w:after="20" w:before="20"/>
            </w:pPr>
            <w:r/>
            <w:r>
              <w:rPr>
                <w:sz w:val="18"/>
              </w:rPr>
              <w:t>Large</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the full launch plant, and only growth stays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first two boiler and chiller modules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HVAC, clean zones, solar, security, crane;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further Classics; the metrology parts bought from revenue if that lever is used; the visitor corridor if built later; the biomass boiler if steam starts electric;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(boiler modules B-1, B-2;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~161M to 292M THB in one round, against ~57M to 95M THB for the superseded phased entry; more of it is committed before the market has validated the price.</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launch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plus 1 to 2 for the cassette and CD-R lines.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~54M THB on the 216M target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Utilisation and price</w:t>
            </w:r>
          </w:p>
        </w:tc>
        <w:tc>
          <w:tcPr>
            <w:tcW w:type="dxa" w:w="2948"/>
            <w:shd w:val="clear" w:color="auto" w:fill="F2F5FA"/>
          </w:tcPr>
          <w:p>
            <w:pPr>
              <w:spacing w:after="20" w:before="20"/>
            </w:pPr>
            <w:r/>
            <w:r>
              <w:rPr>
                <w:sz w:val="16"/>
              </w:rPr>
              <w:t>The cost structure is mostly fixed; the adverse case loses money even at the full volume of three presses (it needs ~1.5M records to cover depreciation)</w:t>
            </w:r>
          </w:p>
        </w:tc>
        <w:tc>
          <w:tcPr>
            <w:tcW w:type="dxa" w:w="3515"/>
            <w:shd w:val="clear" w:color="auto" w:fill="F2F5FA"/>
          </w:tcPr>
          <w:p>
            <w:pPr>
              <w:spacing w:after="20" w:before="20"/>
            </w:pPr>
            <w:r/>
            <w:r>
              <w:rPr>
                <w:sz w:val="16"/>
              </w:rPr>
              <w:t>Central breaks even at ~0.3M records; commission in sequence; growth options wait for demand; treat the adverse column as the honest one</w:t>
            </w:r>
          </w:p>
        </w:tc>
      </w:tr>
      <w:tr>
        <w:trPr>
          <w:cantSplit/>
        </w:trPr>
        <w:tc>
          <w:tcPr>
            <w:tcW w:type="dxa" w:w="907"/>
          </w:tcPr>
          <w:p>
            <w:pPr>
              <w:spacing w:after="20" w:before="20"/>
            </w:pPr>
            <w:r/>
            <w:r>
              <w:rPr>
                <w:sz w:val="16"/>
              </w:rPr>
              <w:t>High</w:t>
            </w:r>
          </w:p>
        </w:tc>
        <w:tc>
          <w:tcPr>
            <w:tcW w:type="dxa" w:w="2268"/>
          </w:tcPr>
          <w:p>
            <w:pPr>
              <w:spacing w:after="20" w:before="20"/>
            </w:pPr>
            <w:r/>
            <w:r>
              <w:rPr>
                <w:sz w:val="16"/>
              </w:rPr>
              <w:t>Galvanics and cutting on the critical path</w:t>
            </w:r>
          </w:p>
        </w:tc>
        <w:tc>
          <w:tcPr>
            <w:tcW w:type="dxa" w:w="2948"/>
          </w:tcPr>
          <w:p>
            <w:pPr>
              <w:spacing w:after="20" w:before="20"/>
            </w:pPr>
            <w:r/>
            <w:r>
              <w:rPr>
                <w:sz w:val="16"/>
              </w:rPr>
              <w:t>No paying release until the cutting room and galvanics make good stampers; a slow start there delays every press</w:t>
            </w:r>
          </w:p>
        </w:tc>
        <w:tc>
          <w:tcPr>
            <w:tcW w:type="dxa" w:w="3515"/>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Skills: galvanics process engineer, cutting engineer</w:t>
            </w:r>
          </w:p>
        </w:tc>
        <w:tc>
          <w:tcPr>
            <w:tcW w:type="dxa" w:w="2948"/>
            <w:shd w:val="clear" w:color="auto" w:fill="F2F5FA"/>
          </w:tcPr>
          <w:p>
            <w:pPr>
              <w:spacing w:after="20" w:before="20"/>
            </w:pPr>
            <w:r/>
            <w:r>
              <w:rPr>
                <w:sz w:val="16"/>
              </w:rPr>
              <w:t>Galvanics is the hardest skill to hire; both roles are now needed at launch</w:t>
            </w:r>
          </w:p>
        </w:tc>
        <w:tc>
          <w:tcPr>
            <w:tcW w:type="dxa" w:w="3515"/>
            <w:shd w:val="clear" w:color="auto" w:fill="F2F5FA"/>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tcPr>
          <w:p>
            <w:pPr>
              <w:spacing w:after="20" w:before="20"/>
            </w:pPr>
            <w:r/>
            <w:r>
              <w:rPr>
                <w:sz w:val="16"/>
              </w:rPr>
              <w:t>High</w:t>
            </w:r>
          </w:p>
        </w:tc>
        <w:tc>
          <w:tcPr>
            <w:tcW w:type="dxa" w:w="2268"/>
          </w:tcPr>
          <w:p>
            <w:pPr>
              <w:spacing w:after="20" w:before="20"/>
            </w:pPr>
            <w:r/>
            <w:r>
              <w:rPr>
                <w:sz w:val="16"/>
              </w:rPr>
              <w:t>Missing prices: Classic and Pheenix line</w:t>
            </w:r>
          </w:p>
        </w:tc>
        <w:tc>
          <w:tcPr>
            <w:tcW w:type="dxa" w:w="2948"/>
          </w:tcPr>
          <w:p>
            <w:pPr>
              <w:spacing w:after="20" w:before="20"/>
            </w:pPr>
            <w:r/>
            <w:r>
              <w:rPr>
                <w:sz w:val="16"/>
              </w:rPr>
              <w:t>Two of the largest machine lines have no vendor price; the Classic band is a placeholder</w:t>
            </w:r>
          </w:p>
        </w:tc>
        <w:tc>
          <w:tcPr>
            <w:tcW w:type="dxa" w:w="3515"/>
          </w:tcPr>
          <w:p>
            <w:pPr>
              <w:spacing w:after="20" w:before="20"/>
            </w:pPr>
            <w:r/>
            <w:r>
              <w:rPr>
                <w:sz w:val="16"/>
              </w:rPr>
              <w:t>Newbilt re-quote and Pheenix quote in phase 0; OMS's reference prices as the galvanics benchmark</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Budget fit against 216M THB</w:t>
            </w:r>
          </w:p>
        </w:tc>
        <w:tc>
          <w:tcPr>
            <w:tcW w:type="dxa" w:w="2948"/>
            <w:shd w:val="clear" w:color="auto" w:fill="F2F5FA"/>
          </w:tcPr>
          <w:p>
            <w:pPr>
              <w:spacing w:after="20" w:before="20"/>
            </w:pPr>
            <w:r/>
            <w:r>
              <w:rPr>
                <w:sz w:val="16"/>
              </w:rPr>
              <w:t>Midpoint ~227M is ~11M over; the high end is ~292M</w:t>
            </w:r>
          </w:p>
        </w:tc>
        <w:tc>
          <w:tcPr>
            <w:tcW w:type="dxa" w:w="3515"/>
            <w:shd w:val="clear" w:color="auto" w:fill="F2F5FA"/>
          </w:tcPr>
          <w:p>
            <w:pPr>
              <w:spacing w:after="20" w:before="20"/>
            </w:pPr>
            <w:r/>
            <w:r>
              <w:rPr>
                <w:sz w:val="16"/>
              </w:rPr>
              <w:t>Four levers bring the midpoint to ~203M to 213M with the reserve; four requests settle most of the band; tranche release</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Lease terms and building ownership</w:t>
            </w:r>
          </w:p>
        </w:tc>
        <w:tc>
          <w:tcPr>
            <w:tcW w:type="dxa" w:w="2948"/>
          </w:tcPr>
          <w:p>
            <w:pPr>
              <w:spacing w:after="20" w:before="20"/>
            </w:pPr>
            <w:r/>
            <w:r>
              <w:rPr>
                <w:sz w:val="16"/>
              </w:rPr>
              <w:t>A weak lease makes the building hard to finance and exposes it at expiry</w:t>
            </w:r>
          </w:p>
        </w:tc>
        <w:tc>
          <w:tcPr>
            <w:tcW w:type="dxa" w:w="3515"/>
          </w:tcPr>
          <w:p>
            <w:pPr>
              <w:spacing w:after="20" w:before="20"/>
            </w:pPr>
            <w:r/>
            <w:r>
              <w:rPr>
                <w:sz w:val="16"/>
              </w:rPr>
              <w:t>Registered 30 to 50 year lease with renewal, explicit building ownership and assignment rights; Thai counsel in phase 0</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Soil conditions</w:t>
            </w:r>
          </w:p>
        </w:tc>
        <w:tc>
          <w:tcPr>
            <w:tcW w:type="dxa" w:w="2948"/>
            <w:shd w:val="clear" w:color="auto" w:fill="F2F5FA"/>
          </w:tcPr>
          <w:p>
            <w:pPr>
              <w:spacing w:after="20" w:before="20"/>
            </w:pPr>
            <w:r/>
            <w:r>
              <w:rPr>
                <w:sz w:val="16"/>
              </w:rPr>
              <w:t>Piling could add several hundred to 1,000+ THB/m² across building, paving and fill</w:t>
            </w:r>
          </w:p>
        </w:tc>
        <w:tc>
          <w:tcPr>
            <w:tcW w:type="dxa" w:w="3515"/>
            <w:shd w:val="clear" w:color="auto" w:fill="F2F5FA"/>
          </w:tcPr>
          <w:p>
            <w:pPr>
              <w:spacing w:after="20" w:before="20"/>
            </w:pPr>
            <w:r/>
            <w:r>
              <w:rPr>
                <w:sz w:val="16"/>
              </w:rPr>
              <w:t>Soil boring test in phase 0 (THB 30k to 50k)</w:t>
            </w:r>
          </w:p>
        </w:tc>
      </w:tr>
      <w:tr>
        <w:trPr>
          <w:cantSplit/>
        </w:trPr>
        <w:tc>
          <w:tcPr>
            <w:tcW w:type="dxa" w:w="907"/>
          </w:tcPr>
          <w:p>
            <w:pPr>
              <w:spacing w:after="20" w:before="20"/>
            </w:pPr>
            <w:r/>
            <w:r>
              <w:rPr>
                <w:sz w:val="16"/>
              </w:rPr>
              <w:t>Medium</w:t>
            </w:r>
          </w:p>
        </w:tc>
        <w:tc>
          <w:tcPr>
            <w:tcW w:type="dxa" w:w="2268"/>
          </w:tcPr>
          <w:p>
            <w:pPr>
              <w:spacing w:after="20" w:before="20"/>
            </w:pPr>
            <w:r/>
            <w:r>
              <w:rPr>
                <w:sz w:val="16"/>
              </w:rPr>
              <w:t>Galvanics permitting</w:t>
            </w:r>
          </w:p>
        </w:tc>
        <w:tc>
          <w:tcPr>
            <w:tcW w:type="dxa" w:w="2948"/>
          </w:tcPr>
          <w:p>
            <w:pPr>
              <w:spacing w:after="20" w:before="20"/>
            </w:pPr>
            <w:r/>
            <w:r>
              <w:rPr>
                <w:sz w:val="16"/>
              </w:rPr>
              <w:t>Effluent and hazardous-substance permitting are the most likely regulatory friction, now in the first factory licence</w:t>
            </w:r>
          </w:p>
        </w:tc>
        <w:tc>
          <w:tcPr>
            <w:tcW w:type="dxa" w:w="3515"/>
          </w:tcPr>
          <w:p>
            <w:pPr>
              <w:spacing w:after="20" w:before="20"/>
            </w:pPr>
            <w:r/>
            <w:r>
              <w:rPr>
                <w:sz w:val="16"/>
              </w:rPr>
              <w:t>Zero-discharge design and the water-treatment building from the start; industrial estate option; lessor's consent on Payap land</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Utilities fuel choice open</w:t>
            </w:r>
          </w:p>
        </w:tc>
        <w:tc>
          <w:tcPr>
            <w:tcW w:type="dxa" w:w="2948"/>
            <w:shd w:val="clear" w:color="auto" w:fill="F2F5FA"/>
          </w:tcPr>
          <w:p>
            <w:pPr>
              <w:spacing w:after="20" w:before="20"/>
            </w:pPr>
            <w:r/>
            <w:r>
              <w:rPr>
                <w:sz w:val="16"/>
              </w:rPr>
              <w:t>Biomass heat costs a quarter to a tenth of electric steam at reported fuel prices; electric steam needs a larger grid connection, biomass a secured fuel supply</w:t>
            </w:r>
          </w:p>
        </w:tc>
        <w:tc>
          <w:tcPr>
            <w:tcW w:type="dxa" w:w="3515"/>
            <w:shd w:val="clear" w:color="auto" w:fill="F2F5FA"/>
          </w:tcPr>
          <w:p>
            <w:pPr>
              <w:spacing w:after="20" w:before="20"/>
            </w:pPr>
            <w:r/>
            <w:r>
              <w:rPr>
                <w:sz w:val="16"/>
              </w:rPr>
              <w:t>Decide before the boiler request and the grid application; quote electric and fired variants of the same modules</w:t>
            </w:r>
          </w:p>
        </w:tc>
      </w:tr>
      <w:tr>
        <w:trPr>
          <w:cantSplit/>
        </w:trPr>
        <w:tc>
          <w:tcPr>
            <w:tcW w:type="dxa" w:w="907"/>
          </w:tcPr>
          <w:p>
            <w:pPr>
              <w:spacing w:after="20" w:before="20"/>
            </w:pPr>
            <w:r/>
            <w:r>
              <w:rPr>
                <w:sz w:val="16"/>
              </w:rPr>
              <w:t>Medium</w:t>
            </w:r>
          </w:p>
        </w:tc>
        <w:tc>
          <w:tcPr>
            <w:tcW w:type="dxa" w:w="2268"/>
          </w:tcPr>
          <w:p>
            <w:pPr>
              <w:spacing w:after="20" w:before="20"/>
            </w:pPr>
            <w:r/>
            <w:r>
              <w:rPr>
                <w:sz w:val="16"/>
              </w:rPr>
              <w:t>Boiler import compliance (DIW)</w:t>
            </w:r>
          </w:p>
        </w:tc>
        <w:tc>
          <w:tcPr>
            <w:tcW w:type="dxa" w:w="2948"/>
          </w:tcPr>
          <w:p>
            <w:pPr>
              <w:spacing w:after="20" w:before="20"/>
            </w:pPr>
            <w:r/>
            <w:r>
              <w:rPr>
                <w:sz w:val="16"/>
              </w:rPr>
              <w:t>An imported boiler must meet ASME, JIS, EN or equivalent and be verified by a DIW-registered certification body; the modules run above the once-through relief</w:t>
            </w:r>
          </w:p>
        </w:tc>
        <w:tc>
          <w:tcPr>
            <w:tcW w:type="dxa" w:w="3515"/>
          </w:tcPr>
          <w:p>
            <w:pPr>
              <w:spacing w:after="20" w:before="20"/>
            </w:pPr>
            <w:r/>
            <w:r>
              <w:rPr>
                <w:sz w:val="16"/>
              </w:rPr>
              <w:t>ASME Section I design with the S stamp and the full dossier; certification body engaged before the order; the same for a Thai-bought boiler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Single press vendor (Newbilt)</w:t>
            </w:r>
          </w:p>
        </w:tc>
        <w:tc>
          <w:tcPr>
            <w:tcW w:type="dxa" w:w="2948"/>
            <w:shd w:val="clear" w:color="auto" w:fill="F2F5FA"/>
          </w:tcPr>
          <w:p>
            <w:pPr>
              <w:spacing w:after="20" w:before="20"/>
            </w:pPr>
            <w:r/>
            <w:r>
              <w:rPr>
                <w:sz w:val="16"/>
              </w:rPr>
              <w:t>All three presses, the extruders and the hydraulic aggregates come from one small German manufacturer; build time and order book unknown</w:t>
            </w:r>
          </w:p>
        </w:tc>
        <w:tc>
          <w:tcPr>
            <w:tcW w:type="dxa" w:w="3515"/>
            <w:shd w:val="clear" w:color="auto" w:fill="F2F5FA"/>
          </w:tcPr>
          <w:p>
            <w:pPr>
              <w:spacing w:after="20" w:before="20"/>
            </w:pPr>
            <w:r/>
            <w:r>
              <w:rPr>
                <w:sz w:val="16"/>
              </w:rPr>
              <w:t>Spares and service terms in the re-quote; the Pheenix automatic press stays the comparison if the Classic quote disappoints</w:t>
            </w:r>
          </w:p>
        </w:tc>
      </w:tr>
      <w:tr>
        <w:trPr>
          <w:cantSplit/>
        </w:trPr>
        <w:tc>
          <w:tcPr>
            <w:tcW w:type="dxa" w:w="907"/>
          </w:tcPr>
          <w:p>
            <w:pPr>
              <w:spacing w:after="20" w:before="20"/>
            </w:pPr>
            <w:r/>
            <w:r>
              <w:rPr>
                <w:sz w:val="16"/>
              </w:rPr>
              <w:t>Medium</w:t>
            </w:r>
          </w:p>
        </w:tc>
        <w:tc>
          <w:tcPr>
            <w:tcW w:type="dxa" w:w="2268"/>
          </w:tcPr>
          <w:p>
            <w:pPr>
              <w:spacing w:after="20" w:before="20"/>
            </w:pPr>
            <w:r/>
            <w:r>
              <w:rPr>
                <w:sz w:val="16"/>
              </w:rPr>
              <w:t>Hydraulic ring-main contamination</w:t>
            </w:r>
          </w:p>
        </w:tc>
        <w:tc>
          <w:tcPr>
            <w:tcW w:type="dxa" w:w="2948"/>
          </w:tcPr>
          <w:p>
            <w:pPr>
              <w:spacing w:after="20" w:before="20"/>
            </w:pPr>
            <w:r/>
            <w:r>
              <w:rPr>
                <w:sz w:val="16"/>
              </w:rPr>
              <w:t>One shared oil system: a contamination event reaches every press</w:t>
            </w:r>
          </w:p>
        </w:tc>
        <w:tc>
          <w:tcPr>
            <w:tcW w:type="dxa" w:w="3515"/>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Currency</w:t>
            </w:r>
          </w:p>
        </w:tc>
        <w:tc>
          <w:tcPr>
            <w:tcW w:type="dxa" w:w="2948"/>
            <w:shd w:val="clear" w:color="auto" w:fill="F2F5FA"/>
          </w:tcPr>
          <w:p>
            <w:pPr>
              <w:spacing w:after="20" w:before="20"/>
            </w:pPr>
            <w:r/>
            <w:r>
              <w:rPr>
                <w:sz w:val="16"/>
              </w:rPr>
              <w:t>EUR on Newbilt and Pheenix, USD on Sibert and Sillitoe, THB costs, USD/EUR revenue; a 10 % baht move is worth 0.09 to 0.17 USD per record on margin</w:t>
            </w:r>
          </w:p>
        </w:tc>
        <w:tc>
          <w:tcPr>
            <w:tcW w:type="dxa" w:w="3515"/>
            <w:shd w:val="clear" w:color="auto" w:fill="F2F5FA"/>
          </w:tcPr>
          <w:p>
            <w:pPr>
              <w:spacing w:after="20" w:before="20"/>
            </w:pPr>
            <w:r/>
            <w:r>
              <w:rPr>
                <w:sz w:val="16"/>
              </w:rPr>
              <w:t>Currency and validity in every quote; THB pricing regionally; hedging decision with the investor</w:t>
            </w:r>
          </w:p>
        </w:tc>
      </w:tr>
      <w:tr>
        <w:trPr>
          <w:cantSplit/>
        </w:trPr>
        <w:tc>
          <w:tcPr>
            <w:tcW w:type="dxa" w:w="907"/>
          </w:tcPr>
          <w:p>
            <w:pPr>
              <w:spacing w:after="20" w:before="20"/>
            </w:pPr>
            <w:r/>
            <w:r>
              <w:rPr>
                <w:sz w:val="16"/>
              </w:rPr>
              <w:t>Medium</w:t>
            </w:r>
          </w:p>
        </w:tc>
        <w:tc>
          <w:tcPr>
            <w:tcW w:type="dxa" w:w="2268"/>
          </w:tcPr>
          <w:p>
            <w:pPr>
              <w:spacing w:after="20" w:before="20"/>
            </w:pPr>
            <w:r/>
            <w:r>
              <w:rPr>
                <w:sz w:val="16"/>
              </w:rPr>
              <w:t>Vinyl demand is cyclical</w:t>
            </w:r>
          </w:p>
        </w:tc>
        <w:tc>
          <w:tcPr>
            <w:tcW w:type="dxa" w:w="2948"/>
          </w:tcPr>
          <w:p>
            <w:pPr>
              <w:spacing w:after="20" w:before="20"/>
            </w:pPr>
            <w:r/>
            <w:r>
              <w:rPr>
                <w:sz w:val="16"/>
              </w:rPr>
              <w:t>Global capacity has been added; the model assumes the plant sells what it presses</w:t>
            </w:r>
          </w:p>
        </w:tc>
        <w:tc>
          <w:tcPr>
            <w:tcW w:type="dxa" w:w="3515"/>
          </w:tcPr>
          <w:p>
            <w:pPr>
              <w:spacing w:after="20" w:before="20"/>
            </w:pPr>
            <w:r/>
            <w:r>
              <w:rPr>
                <w:sz w:val="16"/>
              </w:rPr>
              <w:t>Mixed fleet suits boutique work that is less cyclical; cassette and CD-R lines diversify; growth options wait for demand</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Reject rate in early production</w:t>
            </w:r>
          </w:p>
        </w:tc>
        <w:tc>
          <w:tcPr>
            <w:tcW w:type="dxa" w:w="2948"/>
            <w:shd w:val="clear" w:color="auto" w:fill="F2F5FA"/>
          </w:tcPr>
          <w:p>
            <w:pPr>
              <w:spacing w:after="20" w:before="20"/>
            </w:pPr>
            <w:r/>
            <w:r>
              <w:rPr>
                <w:sz w:val="16"/>
              </w:rPr>
              <w:t>Early runs, and the first stampers from a new galvanics room, will be worse than the 5 to 10 % allowance while the process settles</w:t>
            </w:r>
          </w:p>
        </w:tc>
        <w:tc>
          <w:tcPr>
            <w:tcW w:type="dxa" w:w="3515"/>
            <w:shd w:val="clear" w:color="auto" w:fill="F2F5FA"/>
          </w:tcPr>
          <w:p>
            <w:pPr>
              <w:spacing w:after="20" w:before="20"/>
            </w:pPr>
            <w:r/>
            <w:r>
              <w:rPr>
                <w:sz w:val="16"/>
              </w:rPr>
              <w:t>Vendor commissioning, stamper metrology, materials lab from day one, QC layers, conservative launch promises; the ramp-up reserve</w:t>
            </w:r>
          </w:p>
        </w:tc>
      </w:tr>
      <w:tr>
        <w:trPr>
          <w:cantSplit/>
        </w:trPr>
        <w:tc>
          <w:tcPr>
            <w:tcW w:type="dxa" w:w="907"/>
          </w:tcPr>
          <w:p>
            <w:pPr>
              <w:spacing w:after="20" w:before="20"/>
            </w:pPr>
            <w:r/>
            <w:r>
              <w:rPr>
                <w:sz w:val="16"/>
              </w:rPr>
              <w:t>Medium</w:t>
            </w:r>
          </w:p>
        </w:tc>
        <w:tc>
          <w:tcPr>
            <w:tcW w:type="dxa" w:w="2268"/>
          </w:tcPr>
          <w:p>
            <w:pPr>
              <w:spacing w:after="20" w:before="20"/>
            </w:pPr>
            <w:r/>
            <w:r>
              <w:rPr>
                <w:sz w:val="16"/>
              </w:rPr>
              <w:t>Competitive response</w:t>
            </w:r>
          </w:p>
        </w:tc>
        <w:tc>
          <w:tcPr>
            <w:tcW w:type="dxa" w:w="2948"/>
          </w:tcPr>
          <w:p>
            <w:pPr>
              <w:spacing w:after="20" w:before="20"/>
            </w:pPr>
            <w:r/>
            <w:r>
              <w:rPr>
                <w:sz w:val="16"/>
              </w:rPr>
              <w:t>The incumbent may add plating, or a second entrant may appear; the domestic price ceiling may compress on our arrival</w:t>
            </w:r>
          </w:p>
        </w:tc>
        <w:tc>
          <w:tcPr>
            <w:tcW w:type="dxa" w:w="3515"/>
          </w:tcPr>
          <w:p>
            <w:pPr>
              <w:spacing w:after="20" w:before="20"/>
            </w:pPr>
            <w:r/>
            <w:r>
              <w:rPr>
                <w:sz w:val="16"/>
              </w:rPr>
              <w:t>Compete on capability (traceability, QC, climate), export customers, and the collaboration under discussion</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Solar and battery integration</w:t>
            </w:r>
          </w:p>
        </w:tc>
        <w:tc>
          <w:tcPr>
            <w:tcW w:type="dxa" w:w="2948"/>
            <w:shd w:val="clear" w:color="auto" w:fill="F2F5FA"/>
          </w:tcPr>
          <w:p>
            <w:pPr>
              <w:spacing w:after="20" w:before="20"/>
            </w:pPr>
            <w:r/>
            <w:r>
              <w:rPr>
                <w:sz w:val="16"/>
              </w:rPr>
              <w:t>Rack voltage vs inverter window; unpublished certifications; mixed-vendor warranty</w:t>
            </w:r>
          </w:p>
        </w:tc>
        <w:tc>
          <w:tcPr>
            <w:tcW w:type="dxa" w:w="3515"/>
            <w:shd w:val="clear" w:color="auto" w:fill="F2F5FA"/>
          </w:tcPr>
          <w:p>
            <w:pPr>
              <w:spacing w:after="20" w:before="20"/>
            </w:pPr>
            <w:r/>
            <w:r>
              <w:rPr>
                <w:sz w:val="16"/>
              </w:rPr>
              <w:t>Engineering checks and certificate requests in phase 0, or a PPA that moves it to the installer; large float</w:t>
            </w:r>
          </w:p>
        </w:tc>
      </w:tr>
      <w:tr>
        <w:trPr>
          <w:cantSplit/>
        </w:trPr>
        <w:tc>
          <w:tcPr>
            <w:tcW w:type="dxa" w:w="907"/>
          </w:tcPr>
          <w:p>
            <w:pPr>
              <w:spacing w:after="20" w:before="20"/>
            </w:pPr>
            <w:r/>
            <w:r>
              <w:rPr>
                <w:sz w:val="16"/>
              </w:rPr>
              <w:t>Low</w:t>
            </w:r>
          </w:p>
        </w:tc>
        <w:tc>
          <w:tcPr>
            <w:tcW w:type="dxa" w:w="2268"/>
          </w:tcPr>
          <w:p>
            <w:pPr>
              <w:spacing w:after="20" w:before="20"/>
            </w:pPr>
            <w:r/>
            <w:r>
              <w:rPr>
                <w:sz w:val="16"/>
              </w:rPr>
              <w:t>Cassette supply chain</w:t>
            </w:r>
          </w:p>
        </w:tc>
        <w:tc>
          <w:tcPr>
            <w:tcW w:type="dxa" w:w="2948"/>
          </w:tcPr>
          <w:p>
            <w:pPr>
              <w:spacing w:after="20" w:before="20"/>
            </w:pPr>
            <w:r/>
            <w:r>
              <w:rPr>
                <w:sz w:val="16"/>
              </w:rPr>
              <w:t>Blank tape and shells come from few suppliers</w:t>
            </w:r>
          </w:p>
        </w:tc>
        <w:tc>
          <w:tcPr>
            <w:tcW w:type="dxa" w:w="3515"/>
          </w:tcPr>
          <w:p>
            <w:pPr>
              <w:spacing w:after="20" w:before="20"/>
            </w:pPr>
            <w:r/>
            <w:r>
              <w:rPr>
                <w:sz w:val="16"/>
              </w:rPr>
              <w:t>Hold stock; qualify two sources</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CD replication scope creep</w:t>
            </w:r>
          </w:p>
        </w:tc>
        <w:tc>
          <w:tcPr>
            <w:tcW w:type="dxa" w:w="2948"/>
            <w:shd w:val="clear" w:color="auto" w:fill="F2F5FA"/>
          </w:tcPr>
          <w:p>
            <w:pPr>
              <w:spacing w:after="20" w:before="20"/>
            </w:pPr>
            <w:r/>
            <w:r>
              <w:rPr>
                <w:sz w:val="16"/>
              </w:rPr>
              <w:t>Adds USD 1.5M to 4.0M and a second commissioning programme</w:t>
            </w:r>
          </w:p>
        </w:tc>
        <w:tc>
          <w:tcPr>
            <w:tcW w:type="dxa" w:w="3515"/>
            <w:shd w:val="clear" w:color="auto" w:fill="F2F5FA"/>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3.50 to 4.60 USD blended price,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a solar PPA affects the solar measure;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steam boiler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Largest unpriced block</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Thai suppliers; Chinese boiler makers (ZOZEN, Sitong, Fangkuai, Taiguo; 1.25 MPa, ASME S stamp, electric and fired variants); compressors from Kaishan and Denair's Thai offices;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choice</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confocal, profiler, inline vision, audio station)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PPA offers next to the purchase quote; battery and inverter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lever</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Biomass path</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launch-plant total),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the launch plant at a </w:t>
            </w:r>
            <w:r>
              <w:rPr>
                <w:b/>
                <w:sz w:val="19"/>
              </w:rPr>
              <w:t>target of ~216M THB</w:t>
            </w:r>
            <w:r>
              <w:rPr>
                <w:sz w:val="19"/>
              </w:rPr>
              <w:t>, released in the tranches of section 8.3, with the financing mix set to hold debt-to-equity at or below 3:1. Told plainly: at the midpoint, 216M holds with the four levers and the ramp-up reserve inside it; 180M holds only if the open quotes land low, because even the levers plus scope cuts (cassette and CD-R later, a rented crane) leave ~185M before the reserve. Until the four requests are back, the honest range is ~161M to 292M THB.</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CD replication, yes or no, before the BOI application is finalised; the steam fuel (electric or biomass); which levers to take (solar PPA, metrology launch tier, visitor corridor later);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presses, estimate), further Classics, the rest of the metrology stack, the biomass boiler if steam starts electric,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negotiated lease; a buyer-side price data point; the investor's CD and fuel decisions;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the investor's 180M THB question and the levers; the superseded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Press fleet calculator: target output and specials share to the Duplex/Classic mix, people, utilities and the operating picture</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w:t>
            </w:r>
          </w:p>
        </w:tc>
        <w:tc>
          <w:tcPr>
            <w:tcW w:type="dxa" w:w="6123"/>
            <w:shd w:val="clear" w:color="auto" w:fill="F2F5FA"/>
          </w:tcPr>
          <w:p>
            <w:pPr>
              <w:spacing w:after="20" w:before="20"/>
            </w:pPr>
            <w:r/>
            <w:r>
              <w:rPr>
                <w:sz w:val="17"/>
              </w:rPr>
              <w:t>Data platform: ERPNext as the only system of record, machine data, the factory application, the NixOS fleet</w:t>
            </w:r>
          </w:p>
        </w:tc>
      </w:tr>
      <w:tr>
        <w:trPr>
          <w:cantSplit/>
        </w:trPr>
        <w:tc>
          <w:tcPr>
            <w:tcW w:type="dxa" w:w="3515"/>
          </w:tcPr>
          <w:p>
            <w:pPr>
              <w:spacing w:after="20" w:before="20"/>
            </w:pPr>
            <w:r/>
            <w:r>
              <w:rPr>
                <w:sz w:val="17"/>
              </w:rPr>
              <w:t>artist-platform.md (demos artist-order.html, make-a-record.html)</w:t>
            </w:r>
          </w:p>
        </w:tc>
        <w:tc>
          <w:tcPr>
            <w:tcW w:type="dxa" w:w="6123"/>
          </w:tcPr>
          <w:p>
            <w:pPr>
              <w:spacing w:after="20" w:before="20"/>
            </w:pPr>
            <w:r/>
            <w:r>
              <w:rPr>
                <w:sz w:val="17"/>
              </w:rPr>
              <w:t>Upload and itemised price calculator, fan-funded campaigns</w:t>
            </w:r>
          </w:p>
        </w:tc>
      </w:tr>
      <w:tr>
        <w:trPr>
          <w:cantSplit/>
        </w:trPr>
        <w:tc>
          <w:tcPr>
            <w:tcW w:type="dxa" w:w="3515"/>
            <w:shd w:val="clear" w:color="auto" w:fill="F2F5FA"/>
          </w:tcPr>
          <w:p>
            <w:pPr>
              <w:spacing w:after="20" w:before="20"/>
            </w:pPr>
            <w:r/>
            <w:r>
              <w:rPr>
                <w:sz w:val="17"/>
              </w:rPr>
              <w:t>process-flow.md, production-timeline.md</w:t>
            </w:r>
          </w:p>
        </w:tc>
        <w:tc>
          <w:tcPr>
            <w:tcW w:type="dxa" w:w="6123"/>
            <w:shd w:val="clear" w:color="auto" w:fill="F2F5FA"/>
          </w:tcPr>
          <w:p>
            <w:pPr>
              <w:spacing w:after="20" w:before="20"/>
            </w:pPr>
            <w:r/>
            <w:r>
              <w:rPr>
                <w:sz w:val="17"/>
              </w:rPr>
              <w:t>The chain and its checks; order turnaround stage by stage, lead times and the repress path</w:t>
            </w:r>
          </w:p>
        </w:tc>
      </w:tr>
      <w:tr>
        <w:trPr>
          <w:cantSplit/>
        </w:trPr>
        <w:tc>
          <w:tcPr>
            <w:tcW w:type="dxa" w:w="3515"/>
          </w:tcPr>
          <w:p>
            <w:pPr>
              <w:spacing w:after="20" w:before="20"/>
            </w:pPr>
            <w:r/>
            <w:r>
              <w:rPr>
                <w:sz w:val="17"/>
              </w:rPr>
              <w:t>traceability.md, quality-automation.md</w:t>
            </w:r>
          </w:p>
        </w:tc>
        <w:tc>
          <w:tcPr>
            <w:tcW w:type="dxa" w:w="6123"/>
          </w:tcPr>
          <w:p>
            <w:pPr>
              <w:spacing w:after="20" w:before="20"/>
            </w:pPr>
            <w:r/>
            <w:r>
              <w:rPr>
                <w:sz w:val="17"/>
              </w:rPr>
              <w:t>The traceability specification; metrology, layered record QC, the materials lab</w:t>
            </w:r>
          </w:p>
        </w:tc>
      </w:tr>
      <w:tr>
        <w:trPr>
          <w:cantSplit/>
        </w:trPr>
        <w:tc>
          <w:tcPr>
            <w:tcW w:type="dxa" w:w="3515"/>
            <w:shd w:val="clear" w:color="auto" w:fill="F2F5FA"/>
          </w:tcPr>
          <w:p>
            <w:pPr>
              <w:spacing w:after="20" w:before="20"/>
            </w:pPr>
            <w:r/>
            <w:r>
              <w:rPr>
                <w:sz w:val="17"/>
              </w:rPr>
              <w:t>sustainability.md, biomass.md, steam-cooling.html</w:t>
            </w:r>
          </w:p>
        </w:tc>
        <w:tc>
          <w:tcPr>
            <w:tcW w:type="dxa" w:w="6123"/>
            <w:shd w:val="clear" w:color="auto" w:fill="F2F5FA"/>
          </w:tcPr>
          <w:p>
            <w:pPr>
              <w:spacing w:after="20" w:before="20"/>
            </w:pPr>
            <w:r/>
            <w:r>
              <w:rPr>
                <w:sz w:val="17"/>
              </w:rPr>
              <w:t>Solar, heat recovery, water, zero discharge, the grid tariff; the biomass fuel strategy; the steam and cooling plant</w:t>
            </w:r>
          </w:p>
        </w:tc>
      </w:tr>
      <w:tr>
        <w:trPr>
          <w:cantSplit/>
        </w:trPr>
        <w:tc>
          <w:tcPr>
            <w:tcW w:type="dxa" w:w="3515"/>
          </w:tcPr>
          <w:p>
            <w:pPr>
              <w:spacing w:after="20" w:before="20"/>
            </w:pPr>
            <w:r/>
            <w:r>
              <w:rPr>
                <w:sz w:val="17"/>
              </w:rPr>
              <w:t>facility-security.md, worker-safety.md</w:t>
            </w:r>
          </w:p>
        </w:tc>
        <w:tc>
          <w:tcPr>
            <w:tcW w:type="dxa" w:w="6123"/>
          </w:tcPr>
          <w:p>
            <w:pPr>
              <w:spacing w:after="20" w:before="20"/>
            </w:pPr>
            <w:r/>
            <w:r>
              <w:rPr>
                <w:sz w:val="17"/>
              </w:rPr>
              <w:t>Climate control, security, fire and life safety, the archive room; training, clean rooms, PPE</w:t>
            </w:r>
          </w:p>
        </w:tc>
      </w:tr>
      <w:tr>
        <w:trPr>
          <w:cantSplit/>
        </w:trPr>
        <w:tc>
          <w:tcPr>
            <w:tcW w:type="dxa" w:w="3515"/>
            <w:shd w:val="clear" w:color="auto" w:fill="F2F5FA"/>
          </w:tcPr>
          <w:p>
            <w:pPr>
              <w:spacing w:after="20" w:before="20"/>
            </w:pPr>
            <w:r/>
            <w:r>
              <w:rPr>
                <w:sz w:val="17"/>
              </w:rPr>
              <w:t>crane-workshop-tours.md</w:t>
            </w:r>
          </w:p>
        </w:tc>
        <w:tc>
          <w:tcPr>
            <w:tcW w:type="dxa" w:w="6123"/>
            <w:shd w:val="clear" w:color="auto" w:fill="F2F5FA"/>
          </w:tcPr>
          <w:p>
            <w:pPr>
              <w:spacing w:after="20" w:before="20"/>
            </w:pPr>
            <w:r/>
            <w:r>
              <w:rPr>
                <w:sz w:val="17"/>
              </w:rPr>
              <w:t>Overhead crane, maintenance workshop, visitor corridor</w:t>
            </w:r>
          </w:p>
        </w:tc>
      </w:tr>
      <w:tr>
        <w:trPr>
          <w:cantSplit/>
        </w:trPr>
        <w:tc>
          <w:tcPr>
            <w:tcW w:type="dxa" w:w="3515"/>
          </w:tcPr>
          <w:p>
            <w:pPr>
              <w:spacing w:after="20" w:before="20"/>
            </w:pPr>
            <w:r/>
            <w:r>
              <w:rPr>
                <w:sz w:val="17"/>
              </w:rPr>
              <w:t>site-candidates.md and land-listings/</w:t>
            </w:r>
          </w:p>
        </w:tc>
        <w:tc>
          <w:tcPr>
            <w:tcW w:type="dxa" w:w="6123"/>
          </w:tcPr>
          <w:p>
            <w:pPr>
              <w:spacing w:after="20" w:before="20"/>
            </w:pPr>
            <w:r/>
            <w:r>
              <w:rPr>
                <w:sz w:val="17"/>
              </w:rPr>
              <w:t>Mueang Chi, the industrial estate and Payap land; the checks before choosing; zoning records</w:t>
            </w:r>
          </w:p>
        </w:tc>
      </w:tr>
      <w:tr>
        <w:trPr>
          <w:cantSplit/>
        </w:trPr>
        <w:tc>
          <w:tcPr>
            <w:tcW w:type="dxa" w:w="3515"/>
            <w:shd w:val="clear" w:color="auto" w:fill="F2F5FA"/>
          </w:tcPr>
          <w:p>
            <w:pPr>
              <w:spacing w:after="20" w:before="20"/>
            </w:pPr>
            <w:r/>
            <w:r>
              <w:rPr>
                <w:sz w:val="17"/>
              </w:rPr>
              <w:t>payap-partnership.md</w:t>
            </w:r>
          </w:p>
        </w:tc>
        <w:tc>
          <w:tcPr>
            <w:tcW w:type="dxa" w:w="6123"/>
            <w:shd w:val="clear" w:color="auto" w:fill="F2F5FA"/>
          </w:tcPr>
          <w:p>
            <w:pPr>
              <w:spacing w:after="20" w:before="20"/>
            </w:pPr>
            <w:r/>
            <w:r>
              <w:rPr>
                <w:sz w:val="17"/>
              </w:rPr>
              <w:t>Joint student programmes with Payap University</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cnx_vinyl_parametric_payap.FCStd and renders/</w:t>
            </w:r>
          </w:p>
        </w:tc>
        <w:tc>
          <w:tcPr>
            <w:tcW w:type="dxa" w:w="6123"/>
            <w:shd w:val="clear" w:color="auto" w:fill="F2F5FA"/>
          </w:tcPr>
          <w:p>
            <w:pPr>
              <w:spacing w:after="20" w:before="20"/>
            </w:pPr>
            <w:r/>
            <w:r>
              <w:rPr>
                <w:sz w:val="17"/>
              </w:rPr>
              <w:t>Parametric building and site models on the candidate plots, and their renders</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draft 0.2,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